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89D" w:rsidRPr="00A906D9" w:rsidRDefault="00F2189D" w:rsidP="00F2189D">
      <w:pPr>
        <w:spacing w:after="0"/>
        <w:jc w:val="center"/>
        <w:rPr>
          <w:b/>
          <w:sz w:val="28"/>
        </w:rPr>
      </w:pPr>
      <w:r w:rsidRPr="00A906D9">
        <w:rPr>
          <w:b/>
          <w:sz w:val="28"/>
        </w:rPr>
        <w:t>1</w:t>
      </w:r>
      <w:r w:rsidRPr="00A906D9">
        <w:rPr>
          <w:b/>
          <w:sz w:val="28"/>
          <w:vertAlign w:val="superscript"/>
        </w:rPr>
        <w:t>ère</w:t>
      </w:r>
      <w:r w:rsidRPr="00A906D9">
        <w:rPr>
          <w:b/>
          <w:sz w:val="28"/>
        </w:rPr>
        <w:t xml:space="preserve"> A &amp; B – Géographie – Mondialisation, métropolisation – littoralisation. </w:t>
      </w:r>
    </w:p>
    <w:p w:rsidR="00A906D9" w:rsidRDefault="00A906D9" w:rsidP="00F2189D">
      <w:pPr>
        <w:spacing w:after="0"/>
        <w:jc w:val="center"/>
        <w:rPr>
          <w:b/>
          <w:sz w:val="24"/>
        </w:rPr>
      </w:pPr>
    </w:p>
    <w:p w:rsidR="007A7BE6" w:rsidRDefault="00F2189D" w:rsidP="00F2189D">
      <w:pPr>
        <w:spacing w:after="0"/>
        <w:jc w:val="center"/>
        <w:rPr>
          <w:b/>
          <w:sz w:val="24"/>
        </w:rPr>
      </w:pPr>
      <w:r w:rsidRPr="00F2189D">
        <w:rPr>
          <w:b/>
          <w:sz w:val="24"/>
        </w:rPr>
        <w:t>Exercice « Du texte au croquis »</w:t>
      </w:r>
    </w:p>
    <w:p w:rsidR="00F2189D" w:rsidRPr="00A906D9" w:rsidRDefault="00F2189D" w:rsidP="00F2189D">
      <w:pPr>
        <w:spacing w:after="0"/>
        <w:jc w:val="center"/>
        <w:rPr>
          <w:i/>
          <w:sz w:val="24"/>
        </w:rPr>
      </w:pPr>
      <w:r w:rsidRPr="00A906D9">
        <w:rPr>
          <w:i/>
          <w:sz w:val="24"/>
        </w:rPr>
        <w:t>A remettre au cours de la semaine du 11 janvier 2021</w:t>
      </w:r>
    </w:p>
    <w:p w:rsidR="00F2189D" w:rsidRPr="00A906D9" w:rsidRDefault="00F2189D" w:rsidP="00F2189D">
      <w:pPr>
        <w:spacing w:after="0"/>
        <w:jc w:val="center"/>
        <w:rPr>
          <w:b/>
          <w:i/>
          <w:sz w:val="24"/>
        </w:rPr>
      </w:pPr>
    </w:p>
    <w:p w:rsidR="00A906D9" w:rsidRPr="00A906D9" w:rsidRDefault="00A906D9" w:rsidP="00A906D9">
      <w:pPr>
        <w:spacing w:after="0"/>
        <w:rPr>
          <w:b/>
          <w:i/>
          <w:sz w:val="24"/>
        </w:rPr>
      </w:pPr>
      <w:r w:rsidRPr="00A906D9">
        <w:rPr>
          <w:b/>
          <w:i/>
          <w:sz w:val="24"/>
        </w:rPr>
        <w:t xml:space="preserve">Nom-Prénom-classe : </w:t>
      </w:r>
    </w:p>
    <w:p w:rsidR="00F2189D" w:rsidRDefault="00F2189D" w:rsidP="00F2189D">
      <w:pPr>
        <w:spacing w:after="0"/>
        <w:jc w:val="center"/>
        <w:rPr>
          <w:b/>
          <w:sz w:val="24"/>
        </w:rPr>
      </w:pPr>
      <w:r>
        <w:rPr>
          <w:b/>
          <w:sz w:val="24"/>
        </w:rPr>
        <w:t xml:space="preserve">Grille d’évaluation </w:t>
      </w:r>
    </w:p>
    <w:tbl>
      <w:tblPr>
        <w:tblStyle w:val="Grilledutableau"/>
        <w:tblW w:w="0" w:type="auto"/>
        <w:tblLook w:val="04A0"/>
      </w:tblPr>
      <w:tblGrid>
        <w:gridCol w:w="6487"/>
        <w:gridCol w:w="9072"/>
      </w:tblGrid>
      <w:tr w:rsidR="00F2189D" w:rsidTr="00A906D9">
        <w:tc>
          <w:tcPr>
            <w:tcW w:w="6487" w:type="dxa"/>
          </w:tcPr>
          <w:p w:rsidR="00F2189D" w:rsidRPr="00F2189D" w:rsidRDefault="00F2189D" w:rsidP="00F2189D">
            <w:pPr>
              <w:jc w:val="center"/>
            </w:pPr>
            <w:r w:rsidRPr="00F2189D">
              <w:t>Sélectionner les informations pertinentes dans le texte</w:t>
            </w:r>
          </w:p>
        </w:tc>
        <w:tc>
          <w:tcPr>
            <w:tcW w:w="9072" w:type="dxa"/>
          </w:tcPr>
          <w:p w:rsidR="00A906D9" w:rsidRDefault="00A906D9" w:rsidP="00F2189D">
            <w:pPr>
              <w:jc w:val="center"/>
              <w:rPr>
                <w:b/>
                <w:sz w:val="24"/>
              </w:rPr>
            </w:pPr>
          </w:p>
          <w:p w:rsidR="00A906D9" w:rsidRDefault="00A906D9" w:rsidP="00A906D9">
            <w:pPr>
              <w:jc w:val="right"/>
              <w:rPr>
                <w:b/>
                <w:sz w:val="24"/>
              </w:rPr>
            </w:pPr>
          </w:p>
          <w:p w:rsidR="00F2189D" w:rsidRDefault="00A906D9" w:rsidP="00A906D9">
            <w:pPr>
              <w:jc w:val="right"/>
              <w:rPr>
                <w:b/>
                <w:sz w:val="24"/>
              </w:rPr>
            </w:pPr>
            <w:r>
              <w:rPr>
                <w:b/>
                <w:sz w:val="24"/>
              </w:rPr>
              <w:t>/4</w:t>
            </w:r>
          </w:p>
        </w:tc>
      </w:tr>
      <w:tr w:rsidR="00F2189D" w:rsidTr="00A906D9">
        <w:tc>
          <w:tcPr>
            <w:tcW w:w="6487" w:type="dxa"/>
          </w:tcPr>
          <w:p w:rsidR="00F2189D" w:rsidRPr="00F2189D" w:rsidRDefault="00F2189D" w:rsidP="00F2189D">
            <w:pPr>
              <w:jc w:val="center"/>
            </w:pPr>
            <w:r w:rsidRPr="00F2189D">
              <w:t>Fournir une légende organisée, équilibrée et précise</w:t>
            </w:r>
          </w:p>
        </w:tc>
        <w:tc>
          <w:tcPr>
            <w:tcW w:w="9072" w:type="dxa"/>
          </w:tcPr>
          <w:p w:rsidR="00F2189D" w:rsidRDefault="00F2189D" w:rsidP="00F2189D">
            <w:pPr>
              <w:jc w:val="center"/>
              <w:rPr>
                <w:b/>
                <w:sz w:val="24"/>
              </w:rPr>
            </w:pPr>
          </w:p>
          <w:p w:rsidR="00A906D9" w:rsidRDefault="00A906D9" w:rsidP="00A906D9">
            <w:pPr>
              <w:jc w:val="right"/>
              <w:rPr>
                <w:b/>
                <w:sz w:val="24"/>
              </w:rPr>
            </w:pPr>
          </w:p>
          <w:p w:rsidR="00F2189D" w:rsidRDefault="00A906D9" w:rsidP="00A906D9">
            <w:pPr>
              <w:jc w:val="right"/>
              <w:rPr>
                <w:b/>
                <w:sz w:val="24"/>
              </w:rPr>
            </w:pPr>
            <w:r>
              <w:rPr>
                <w:b/>
                <w:sz w:val="24"/>
              </w:rPr>
              <w:t>/4</w:t>
            </w:r>
          </w:p>
        </w:tc>
      </w:tr>
      <w:tr w:rsidR="00F2189D" w:rsidTr="00A906D9">
        <w:tc>
          <w:tcPr>
            <w:tcW w:w="6487" w:type="dxa"/>
          </w:tcPr>
          <w:p w:rsidR="00F2189D" w:rsidRPr="00F2189D" w:rsidRDefault="00F2189D" w:rsidP="00F2189D">
            <w:pPr>
              <w:jc w:val="center"/>
            </w:pPr>
            <w:r w:rsidRPr="00F2189D">
              <w:t>Choisir des figurés pertinents</w:t>
            </w:r>
          </w:p>
        </w:tc>
        <w:tc>
          <w:tcPr>
            <w:tcW w:w="9072" w:type="dxa"/>
          </w:tcPr>
          <w:p w:rsidR="00F2189D" w:rsidRDefault="00F2189D" w:rsidP="00A906D9">
            <w:pPr>
              <w:rPr>
                <w:b/>
                <w:sz w:val="24"/>
              </w:rPr>
            </w:pPr>
          </w:p>
          <w:p w:rsidR="00A906D9" w:rsidRDefault="00A906D9" w:rsidP="00A906D9">
            <w:pPr>
              <w:rPr>
                <w:b/>
                <w:sz w:val="24"/>
              </w:rPr>
            </w:pPr>
          </w:p>
          <w:p w:rsidR="00F2189D" w:rsidRDefault="00A906D9" w:rsidP="00A906D9">
            <w:pPr>
              <w:jc w:val="right"/>
              <w:rPr>
                <w:b/>
                <w:sz w:val="24"/>
              </w:rPr>
            </w:pPr>
            <w:r>
              <w:rPr>
                <w:b/>
                <w:sz w:val="24"/>
              </w:rPr>
              <w:t>/4</w:t>
            </w:r>
          </w:p>
        </w:tc>
      </w:tr>
      <w:tr w:rsidR="00F2189D" w:rsidTr="00A906D9">
        <w:tc>
          <w:tcPr>
            <w:tcW w:w="6487" w:type="dxa"/>
          </w:tcPr>
          <w:p w:rsidR="00F2189D" w:rsidRPr="00F2189D" w:rsidRDefault="00F2189D" w:rsidP="00F2189D">
            <w:pPr>
              <w:jc w:val="center"/>
            </w:pPr>
            <w:r w:rsidRPr="00F2189D">
              <w:t>Placer et nommer les lieux – espaces avec justesse</w:t>
            </w:r>
          </w:p>
        </w:tc>
        <w:tc>
          <w:tcPr>
            <w:tcW w:w="9072" w:type="dxa"/>
          </w:tcPr>
          <w:p w:rsidR="00F2189D" w:rsidRDefault="00F2189D" w:rsidP="00F2189D">
            <w:pPr>
              <w:jc w:val="center"/>
              <w:rPr>
                <w:b/>
                <w:sz w:val="24"/>
              </w:rPr>
            </w:pPr>
          </w:p>
          <w:p w:rsidR="00A906D9" w:rsidRDefault="00A906D9" w:rsidP="00A906D9">
            <w:pPr>
              <w:jc w:val="right"/>
              <w:rPr>
                <w:b/>
                <w:sz w:val="24"/>
              </w:rPr>
            </w:pPr>
          </w:p>
          <w:p w:rsidR="00F2189D" w:rsidRDefault="00A906D9" w:rsidP="00A906D9">
            <w:pPr>
              <w:jc w:val="right"/>
              <w:rPr>
                <w:b/>
                <w:sz w:val="24"/>
              </w:rPr>
            </w:pPr>
            <w:r>
              <w:rPr>
                <w:b/>
                <w:sz w:val="24"/>
              </w:rPr>
              <w:t>/4</w:t>
            </w:r>
          </w:p>
        </w:tc>
      </w:tr>
      <w:tr w:rsidR="00F2189D" w:rsidTr="00A906D9">
        <w:tc>
          <w:tcPr>
            <w:tcW w:w="6487" w:type="dxa"/>
          </w:tcPr>
          <w:p w:rsidR="00F2189D" w:rsidRPr="00F2189D" w:rsidRDefault="00F2189D" w:rsidP="00F2189D">
            <w:pPr>
              <w:jc w:val="center"/>
            </w:pPr>
            <w:r w:rsidRPr="00F2189D">
              <w:t>Proposer un croquis clair, efficace</w:t>
            </w:r>
          </w:p>
        </w:tc>
        <w:tc>
          <w:tcPr>
            <w:tcW w:w="9072" w:type="dxa"/>
          </w:tcPr>
          <w:p w:rsidR="00F2189D" w:rsidRDefault="00F2189D" w:rsidP="00F2189D">
            <w:pPr>
              <w:jc w:val="center"/>
              <w:rPr>
                <w:b/>
                <w:sz w:val="24"/>
              </w:rPr>
            </w:pPr>
          </w:p>
          <w:p w:rsidR="00A906D9" w:rsidRDefault="00A906D9" w:rsidP="00A906D9">
            <w:pPr>
              <w:jc w:val="right"/>
              <w:rPr>
                <w:b/>
                <w:sz w:val="24"/>
              </w:rPr>
            </w:pPr>
          </w:p>
          <w:p w:rsidR="00F2189D" w:rsidRDefault="00A906D9" w:rsidP="00A906D9">
            <w:pPr>
              <w:jc w:val="right"/>
              <w:rPr>
                <w:b/>
                <w:sz w:val="24"/>
              </w:rPr>
            </w:pPr>
            <w:r>
              <w:rPr>
                <w:b/>
                <w:sz w:val="24"/>
              </w:rPr>
              <w:t>/4</w:t>
            </w:r>
          </w:p>
        </w:tc>
      </w:tr>
    </w:tbl>
    <w:p w:rsidR="00F2189D" w:rsidRDefault="00F2189D" w:rsidP="00F2189D">
      <w:pPr>
        <w:spacing w:after="0"/>
        <w:jc w:val="center"/>
        <w:rPr>
          <w:b/>
          <w:sz w:val="24"/>
        </w:rPr>
      </w:pPr>
    </w:p>
    <w:p w:rsidR="00F2189D" w:rsidRDefault="00F2189D" w:rsidP="00F2189D">
      <w:pPr>
        <w:spacing w:after="0"/>
        <w:jc w:val="center"/>
        <w:rPr>
          <w:b/>
          <w:sz w:val="24"/>
        </w:rPr>
      </w:pPr>
    </w:p>
    <w:p w:rsidR="00F2189D" w:rsidRDefault="00F2189D" w:rsidP="00F2189D">
      <w:pPr>
        <w:spacing w:after="0"/>
        <w:jc w:val="both"/>
        <w:rPr>
          <w:sz w:val="24"/>
        </w:rPr>
      </w:pPr>
    </w:p>
    <w:p w:rsidR="00A906D9" w:rsidRDefault="00A906D9" w:rsidP="00F2189D">
      <w:pPr>
        <w:spacing w:after="0"/>
        <w:jc w:val="both"/>
        <w:rPr>
          <w:sz w:val="24"/>
        </w:rPr>
      </w:pPr>
    </w:p>
    <w:p w:rsidR="00A906D9" w:rsidRDefault="00A906D9" w:rsidP="00F2189D">
      <w:pPr>
        <w:spacing w:after="0"/>
        <w:jc w:val="both"/>
        <w:rPr>
          <w:sz w:val="24"/>
        </w:rPr>
      </w:pPr>
    </w:p>
    <w:p w:rsidR="00A906D9" w:rsidRDefault="00A906D9" w:rsidP="00F2189D">
      <w:pPr>
        <w:spacing w:after="0"/>
        <w:jc w:val="both"/>
        <w:rPr>
          <w:sz w:val="24"/>
        </w:rPr>
      </w:pPr>
    </w:p>
    <w:p w:rsidR="00A906D9" w:rsidRDefault="00A906D9" w:rsidP="00F2189D">
      <w:pPr>
        <w:spacing w:after="0"/>
        <w:jc w:val="both"/>
        <w:rPr>
          <w:sz w:val="24"/>
        </w:rPr>
      </w:pPr>
    </w:p>
    <w:p w:rsidR="00A906D9" w:rsidRDefault="00A906D9" w:rsidP="00F2189D">
      <w:pPr>
        <w:spacing w:after="0"/>
        <w:jc w:val="both"/>
        <w:rPr>
          <w:sz w:val="24"/>
        </w:rPr>
      </w:pPr>
    </w:p>
    <w:p w:rsidR="00A906D9" w:rsidRDefault="00A906D9" w:rsidP="00F2189D">
      <w:pPr>
        <w:spacing w:after="0"/>
        <w:jc w:val="both"/>
        <w:rPr>
          <w:sz w:val="24"/>
        </w:rPr>
      </w:pPr>
    </w:p>
    <w:p w:rsidR="00A906D9" w:rsidRDefault="00A906D9" w:rsidP="00F2189D">
      <w:pPr>
        <w:spacing w:after="0"/>
        <w:jc w:val="both"/>
        <w:rPr>
          <w:sz w:val="24"/>
        </w:rPr>
      </w:pPr>
      <w:r w:rsidRPr="00A906D9">
        <w:rPr>
          <w:noProof/>
          <w:sz w:val="24"/>
        </w:rPr>
        <w:lastRenderedPageBreak/>
        <w:drawing>
          <wp:inline distT="0" distB="0" distL="0" distR="0">
            <wp:extent cx="9777730" cy="6359952"/>
            <wp:effectExtent l="19050" t="0" r="0"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77730" cy="6359952"/>
                    </a:xfrm>
                    <a:prstGeom prst="rect">
                      <a:avLst/>
                    </a:prstGeom>
                    <a:noFill/>
                    <a:ln>
                      <a:noFill/>
                    </a:ln>
                  </pic:spPr>
                </pic:pic>
              </a:graphicData>
            </a:graphic>
          </wp:inline>
        </w:drawing>
      </w:r>
    </w:p>
    <w:p w:rsidR="00A906D9" w:rsidRPr="00A906D9" w:rsidRDefault="00A906D9" w:rsidP="00F2189D">
      <w:pPr>
        <w:spacing w:after="0"/>
        <w:jc w:val="both"/>
        <w:rPr>
          <w:b/>
          <w:sz w:val="28"/>
        </w:rPr>
      </w:pPr>
      <w:r w:rsidRPr="00A906D9">
        <w:rPr>
          <w:b/>
          <w:sz w:val="28"/>
        </w:rPr>
        <w:lastRenderedPageBreak/>
        <w:t xml:space="preserve">Légende </w:t>
      </w:r>
    </w:p>
    <w:p w:rsidR="00A906D9" w:rsidRDefault="00A906D9" w:rsidP="00F2189D">
      <w:pPr>
        <w:spacing w:after="0"/>
        <w:jc w:val="both"/>
        <w:rPr>
          <w:sz w:val="24"/>
        </w:rPr>
      </w:pPr>
    </w:p>
    <w:p w:rsidR="00A906D9" w:rsidRDefault="00A906D9" w:rsidP="00F2189D">
      <w:pPr>
        <w:spacing w:after="0"/>
        <w:jc w:val="both"/>
        <w:rPr>
          <w:sz w:val="24"/>
        </w:rPr>
      </w:pPr>
    </w:p>
    <w:p w:rsidR="00A906D9" w:rsidRDefault="00A906D9" w:rsidP="00F2189D">
      <w:pPr>
        <w:spacing w:after="0"/>
        <w:jc w:val="both"/>
        <w:rPr>
          <w:sz w:val="24"/>
        </w:rPr>
      </w:pPr>
    </w:p>
    <w:p w:rsidR="00A906D9" w:rsidRDefault="00A906D9" w:rsidP="00F2189D">
      <w:pPr>
        <w:spacing w:after="0"/>
        <w:jc w:val="both"/>
        <w:rPr>
          <w:b/>
          <w:sz w:val="24"/>
        </w:rPr>
      </w:pPr>
    </w:p>
    <w:p w:rsidR="00A906D9" w:rsidRDefault="00A906D9" w:rsidP="00F2189D">
      <w:pPr>
        <w:spacing w:after="0"/>
        <w:jc w:val="both"/>
        <w:rPr>
          <w:b/>
          <w:sz w:val="24"/>
        </w:rPr>
      </w:pPr>
    </w:p>
    <w:p w:rsidR="00A906D9" w:rsidRDefault="00A906D9" w:rsidP="00F2189D">
      <w:pPr>
        <w:spacing w:after="0"/>
        <w:jc w:val="both"/>
        <w:rPr>
          <w:b/>
          <w:sz w:val="24"/>
        </w:rPr>
      </w:pPr>
    </w:p>
    <w:p w:rsidR="00A906D9" w:rsidRDefault="00A906D9" w:rsidP="00F2189D">
      <w:pPr>
        <w:spacing w:after="0"/>
        <w:jc w:val="both"/>
        <w:rPr>
          <w:b/>
          <w:sz w:val="24"/>
        </w:rPr>
      </w:pPr>
    </w:p>
    <w:p w:rsidR="00A906D9" w:rsidRDefault="00A906D9" w:rsidP="00F2189D">
      <w:pPr>
        <w:spacing w:after="0"/>
        <w:jc w:val="both"/>
        <w:rPr>
          <w:b/>
          <w:sz w:val="24"/>
        </w:rPr>
      </w:pPr>
    </w:p>
    <w:p w:rsidR="00A906D9" w:rsidRDefault="00A906D9" w:rsidP="00F2189D">
      <w:pPr>
        <w:spacing w:after="0"/>
        <w:jc w:val="both"/>
        <w:rPr>
          <w:b/>
          <w:sz w:val="24"/>
        </w:rPr>
      </w:pPr>
    </w:p>
    <w:p w:rsidR="00A906D9" w:rsidRDefault="00A906D9" w:rsidP="00F2189D">
      <w:pPr>
        <w:spacing w:after="0"/>
        <w:jc w:val="both"/>
        <w:rPr>
          <w:b/>
          <w:sz w:val="24"/>
        </w:rPr>
      </w:pPr>
    </w:p>
    <w:p w:rsidR="00A906D9" w:rsidRDefault="00A906D9" w:rsidP="00F2189D">
      <w:pPr>
        <w:spacing w:after="0"/>
        <w:jc w:val="both"/>
        <w:rPr>
          <w:b/>
          <w:sz w:val="24"/>
        </w:rPr>
      </w:pPr>
    </w:p>
    <w:p w:rsidR="00A906D9" w:rsidRDefault="00A906D9" w:rsidP="00F2189D">
      <w:pPr>
        <w:spacing w:after="0"/>
        <w:jc w:val="both"/>
        <w:rPr>
          <w:b/>
          <w:sz w:val="24"/>
        </w:rPr>
      </w:pPr>
    </w:p>
    <w:p w:rsidR="00A906D9" w:rsidRDefault="00A906D9" w:rsidP="00F2189D">
      <w:pPr>
        <w:spacing w:after="0"/>
        <w:jc w:val="both"/>
        <w:rPr>
          <w:b/>
          <w:sz w:val="24"/>
        </w:rPr>
      </w:pPr>
    </w:p>
    <w:p w:rsidR="00A906D9" w:rsidRDefault="00A906D9" w:rsidP="00F2189D">
      <w:pPr>
        <w:spacing w:after="0"/>
        <w:jc w:val="both"/>
        <w:rPr>
          <w:b/>
          <w:sz w:val="24"/>
        </w:rPr>
      </w:pPr>
    </w:p>
    <w:p w:rsidR="00A906D9" w:rsidRDefault="00A906D9" w:rsidP="00F2189D">
      <w:pPr>
        <w:spacing w:after="0"/>
        <w:jc w:val="both"/>
        <w:rPr>
          <w:b/>
          <w:sz w:val="24"/>
        </w:rPr>
      </w:pPr>
    </w:p>
    <w:p w:rsidR="00A906D9" w:rsidRDefault="00A906D9" w:rsidP="00F2189D">
      <w:pPr>
        <w:spacing w:after="0"/>
        <w:jc w:val="both"/>
        <w:rPr>
          <w:b/>
          <w:sz w:val="24"/>
        </w:rPr>
      </w:pPr>
    </w:p>
    <w:p w:rsidR="00A906D9" w:rsidRDefault="00A906D9" w:rsidP="00F2189D">
      <w:pPr>
        <w:spacing w:after="0"/>
        <w:jc w:val="both"/>
        <w:rPr>
          <w:b/>
          <w:sz w:val="24"/>
        </w:rPr>
      </w:pPr>
    </w:p>
    <w:p w:rsidR="00A906D9" w:rsidRDefault="00A906D9" w:rsidP="00F2189D">
      <w:pPr>
        <w:spacing w:after="0"/>
        <w:jc w:val="both"/>
        <w:rPr>
          <w:b/>
          <w:sz w:val="24"/>
        </w:rPr>
      </w:pPr>
    </w:p>
    <w:p w:rsidR="00A906D9" w:rsidRDefault="00A906D9" w:rsidP="00F2189D">
      <w:pPr>
        <w:spacing w:after="0"/>
        <w:jc w:val="both"/>
        <w:rPr>
          <w:b/>
          <w:sz w:val="24"/>
        </w:rPr>
      </w:pPr>
    </w:p>
    <w:p w:rsidR="00A906D9" w:rsidRDefault="00A906D9" w:rsidP="00F2189D">
      <w:pPr>
        <w:spacing w:after="0"/>
        <w:jc w:val="both"/>
        <w:rPr>
          <w:b/>
          <w:sz w:val="24"/>
        </w:rPr>
      </w:pPr>
    </w:p>
    <w:p w:rsidR="00A906D9" w:rsidRDefault="00A906D9" w:rsidP="00F2189D">
      <w:pPr>
        <w:spacing w:after="0"/>
        <w:jc w:val="both"/>
        <w:rPr>
          <w:b/>
          <w:sz w:val="24"/>
        </w:rPr>
      </w:pPr>
    </w:p>
    <w:p w:rsidR="00A906D9" w:rsidRDefault="00A906D9" w:rsidP="00F2189D">
      <w:pPr>
        <w:spacing w:after="0"/>
        <w:jc w:val="both"/>
        <w:rPr>
          <w:b/>
          <w:sz w:val="24"/>
        </w:rPr>
      </w:pPr>
    </w:p>
    <w:p w:rsidR="00A906D9" w:rsidRDefault="00A906D9" w:rsidP="00F2189D">
      <w:pPr>
        <w:spacing w:after="0"/>
        <w:jc w:val="both"/>
        <w:rPr>
          <w:b/>
          <w:sz w:val="24"/>
        </w:rPr>
      </w:pPr>
    </w:p>
    <w:p w:rsidR="00A906D9" w:rsidRDefault="00A906D9" w:rsidP="00F2189D">
      <w:pPr>
        <w:spacing w:after="0"/>
        <w:jc w:val="both"/>
        <w:rPr>
          <w:b/>
          <w:sz w:val="24"/>
        </w:rPr>
      </w:pPr>
    </w:p>
    <w:p w:rsidR="00A906D9" w:rsidRDefault="00A906D9" w:rsidP="00F2189D">
      <w:pPr>
        <w:spacing w:after="0"/>
        <w:jc w:val="both"/>
        <w:rPr>
          <w:b/>
          <w:sz w:val="24"/>
        </w:rPr>
      </w:pPr>
    </w:p>
    <w:p w:rsidR="00A906D9" w:rsidRDefault="00A906D9" w:rsidP="00F2189D">
      <w:pPr>
        <w:spacing w:after="0"/>
        <w:jc w:val="both"/>
        <w:rPr>
          <w:b/>
          <w:sz w:val="24"/>
        </w:rPr>
      </w:pPr>
    </w:p>
    <w:p w:rsidR="00A906D9" w:rsidRDefault="00A906D9" w:rsidP="00F2189D">
      <w:pPr>
        <w:spacing w:after="0"/>
        <w:jc w:val="both"/>
        <w:rPr>
          <w:b/>
          <w:sz w:val="24"/>
        </w:rPr>
      </w:pPr>
    </w:p>
    <w:p w:rsidR="00A906D9" w:rsidRDefault="00A906D9" w:rsidP="00F2189D">
      <w:pPr>
        <w:spacing w:after="0"/>
        <w:jc w:val="both"/>
        <w:rPr>
          <w:b/>
          <w:sz w:val="24"/>
        </w:rPr>
      </w:pPr>
    </w:p>
    <w:p w:rsidR="00A906D9" w:rsidRPr="00A906D9" w:rsidRDefault="00A906D9" w:rsidP="00F2189D">
      <w:pPr>
        <w:spacing w:after="0"/>
        <w:jc w:val="both"/>
        <w:rPr>
          <w:b/>
          <w:sz w:val="24"/>
        </w:rPr>
      </w:pPr>
      <w:r w:rsidRPr="00A906D9">
        <w:rPr>
          <w:b/>
          <w:sz w:val="24"/>
        </w:rPr>
        <w:lastRenderedPageBreak/>
        <w:t xml:space="preserve">Le texte : </w:t>
      </w:r>
    </w:p>
    <w:p w:rsidR="00A906D9" w:rsidRPr="00A906D9" w:rsidRDefault="00A906D9" w:rsidP="00F2189D">
      <w:pPr>
        <w:spacing w:after="0"/>
        <w:jc w:val="both"/>
      </w:pPr>
    </w:p>
    <w:p w:rsidR="00A906D9" w:rsidRPr="00CA40FA" w:rsidRDefault="00A906D9" w:rsidP="00F2189D">
      <w:pPr>
        <w:spacing w:after="0"/>
        <w:jc w:val="both"/>
        <w:rPr>
          <w:sz w:val="24"/>
        </w:rPr>
      </w:pPr>
      <w:r w:rsidRPr="00CA40FA">
        <w:rPr>
          <w:sz w:val="24"/>
        </w:rPr>
        <w:t xml:space="preserve">La circulation de </w:t>
      </w:r>
      <w:r w:rsidRPr="00CA40FA">
        <w:rPr>
          <w:b/>
          <w:sz w:val="24"/>
        </w:rPr>
        <w:t>flux</w:t>
      </w:r>
      <w:r w:rsidRPr="00CA40FA">
        <w:rPr>
          <w:sz w:val="24"/>
        </w:rPr>
        <w:t xml:space="preserve"> de toute sorte (produits agricoles et manufacturés, matières premières énergétiques, capitaux, informations, mobilités) est la caractéristique principale de la mondialisation. </w:t>
      </w:r>
      <w:r w:rsidR="00CA40FA" w:rsidRPr="00CA40FA">
        <w:rPr>
          <w:sz w:val="24"/>
        </w:rPr>
        <w:t xml:space="preserve">Dans le monde, quelques </w:t>
      </w:r>
      <w:r w:rsidR="00CA40FA" w:rsidRPr="00CA40FA">
        <w:rPr>
          <w:b/>
          <w:sz w:val="24"/>
        </w:rPr>
        <w:t>espaces productifs</w:t>
      </w:r>
      <w:r w:rsidR="00CA40FA" w:rsidRPr="00CA40FA">
        <w:rPr>
          <w:sz w:val="24"/>
        </w:rPr>
        <w:t xml:space="preserve"> ont un poids considérable dans la production et les échanges de richesses : l’Amérique du Nord, l’Union Européenne et l’Asie orientale assurent la majorité des exportations mondiales. Les </w:t>
      </w:r>
      <w:r w:rsidR="00CA40FA" w:rsidRPr="00CA40FA">
        <w:rPr>
          <w:rFonts w:cstheme="minorHAnsi"/>
          <w:sz w:val="24"/>
        </w:rPr>
        <w:t>É</w:t>
      </w:r>
      <w:r w:rsidR="00CA40FA" w:rsidRPr="00CA40FA">
        <w:rPr>
          <w:sz w:val="24"/>
        </w:rPr>
        <w:t>tats qui génèrent le plus de richesse</w:t>
      </w:r>
      <w:r w:rsidR="00CA40FA">
        <w:rPr>
          <w:sz w:val="24"/>
        </w:rPr>
        <w:t>s</w:t>
      </w:r>
      <w:r w:rsidR="00CA40FA" w:rsidRPr="00CA40FA">
        <w:rPr>
          <w:sz w:val="24"/>
        </w:rPr>
        <w:t xml:space="preserve"> (PIB 2019 selon la Banque Mondiale) sont tous</w:t>
      </w:r>
      <w:r w:rsidR="00CA40FA">
        <w:rPr>
          <w:sz w:val="24"/>
        </w:rPr>
        <w:t xml:space="preserve"> situés</w:t>
      </w:r>
      <w:r w:rsidR="00CA40FA" w:rsidRPr="00CA40FA">
        <w:rPr>
          <w:sz w:val="24"/>
        </w:rPr>
        <w:t xml:space="preserve"> dans ces trois régions. Il s’agit des </w:t>
      </w:r>
      <w:r w:rsidR="00CA40FA" w:rsidRPr="00CA40FA">
        <w:rPr>
          <w:rFonts w:cstheme="minorHAnsi"/>
          <w:sz w:val="24"/>
        </w:rPr>
        <w:t>É</w:t>
      </w:r>
      <w:r w:rsidR="00CA40FA" w:rsidRPr="00CA40FA">
        <w:rPr>
          <w:sz w:val="24"/>
        </w:rPr>
        <w:t xml:space="preserve">tats-Unis (21 000 milliards de dollars US), de la République Populaire de Chine (14 000 milliards de dollars US), du Japon (5 000 milliards de dollars US), de l’Allemagne (3 800 milliards de dollars US), de l’Inde (2 800 milliards de dollars US) et du Royaume-Uni (2 800 milliards de dollars US). Les échanges entre les trois régions de la Triade se comptent en milliards de dollars US. Selon l’OMC, la valeur des marchandises et des services échangés entre l’Amérique du Nord et l’Asie orientale en 2017 s’élevait à 1 500 milliards de dollars US. Les flux sont équivalents entre l’Europe de l’ouest et l’Asie orientale, légèrement inférieurs entre l’Europe de l’ouest et l’Amérique du nord (900 milliards de dollars). </w:t>
      </w:r>
    </w:p>
    <w:p w:rsidR="00CA40FA" w:rsidRPr="00CA40FA" w:rsidRDefault="00CA40FA" w:rsidP="00F2189D">
      <w:pPr>
        <w:spacing w:after="0"/>
        <w:jc w:val="both"/>
        <w:rPr>
          <w:sz w:val="24"/>
        </w:rPr>
      </w:pPr>
    </w:p>
    <w:p w:rsidR="00D86689" w:rsidRPr="00CA40FA" w:rsidRDefault="00A906D9" w:rsidP="00F2189D">
      <w:pPr>
        <w:spacing w:after="0"/>
        <w:jc w:val="both"/>
        <w:rPr>
          <w:sz w:val="24"/>
        </w:rPr>
      </w:pPr>
      <w:r w:rsidRPr="00CA40FA">
        <w:rPr>
          <w:sz w:val="24"/>
        </w:rPr>
        <w:t xml:space="preserve">Les </w:t>
      </w:r>
      <w:r w:rsidRPr="00CA40FA">
        <w:rPr>
          <w:b/>
          <w:sz w:val="24"/>
        </w:rPr>
        <w:t>métropoles</w:t>
      </w:r>
      <w:r w:rsidRPr="00CA40FA">
        <w:rPr>
          <w:sz w:val="24"/>
        </w:rPr>
        <w:t xml:space="preserve"> impulsent les activités stratégiques et polarisent les flux à haute valeur ajoutée.</w:t>
      </w:r>
      <w:r w:rsidR="00D86689" w:rsidRPr="00CA40FA">
        <w:rPr>
          <w:sz w:val="24"/>
        </w:rPr>
        <w:t xml:space="preserve">Londres, New York, Hong Kong, Paris, Tokyo et Singapour apparaissent en tête de l’édition 2020 du classement </w:t>
      </w:r>
      <w:r w:rsidR="00D86689" w:rsidRPr="00CA40FA">
        <w:rPr>
          <w:i/>
          <w:sz w:val="24"/>
        </w:rPr>
        <w:t xml:space="preserve">The World </w:t>
      </w:r>
      <w:proofErr w:type="spellStart"/>
      <w:r w:rsidR="00D86689" w:rsidRPr="00CA40FA">
        <w:rPr>
          <w:i/>
          <w:sz w:val="24"/>
        </w:rPr>
        <w:t>According</w:t>
      </w:r>
      <w:proofErr w:type="spellEnd"/>
      <w:r w:rsidR="00D86689" w:rsidRPr="00CA40FA">
        <w:rPr>
          <w:i/>
          <w:sz w:val="24"/>
        </w:rPr>
        <w:t xml:space="preserve"> to </w:t>
      </w:r>
      <w:proofErr w:type="spellStart"/>
      <w:r w:rsidR="00D86689" w:rsidRPr="00CA40FA">
        <w:rPr>
          <w:i/>
          <w:sz w:val="24"/>
        </w:rPr>
        <w:t>GaWC</w:t>
      </w:r>
      <w:proofErr w:type="spellEnd"/>
      <w:r w:rsidR="00D86689" w:rsidRPr="00CA40FA">
        <w:rPr>
          <w:i/>
          <w:sz w:val="24"/>
        </w:rPr>
        <w:t xml:space="preserve">. </w:t>
      </w:r>
      <w:r w:rsidR="00D86689" w:rsidRPr="00CA40FA">
        <w:rPr>
          <w:sz w:val="24"/>
        </w:rPr>
        <w:t xml:space="preserve">Ces métropoles, véritables </w:t>
      </w:r>
      <w:r w:rsidR="00D86689" w:rsidRPr="00CA40FA">
        <w:rPr>
          <w:i/>
          <w:sz w:val="24"/>
        </w:rPr>
        <w:t xml:space="preserve">global </w:t>
      </w:r>
      <w:proofErr w:type="spellStart"/>
      <w:r w:rsidR="00D86689" w:rsidRPr="00CA40FA">
        <w:rPr>
          <w:i/>
          <w:sz w:val="24"/>
        </w:rPr>
        <w:t>cities</w:t>
      </w:r>
      <w:proofErr w:type="spellEnd"/>
      <w:r w:rsidR="00D86689" w:rsidRPr="00CA40FA">
        <w:rPr>
          <w:sz w:val="24"/>
        </w:rPr>
        <w:t xml:space="preserve"> pour reprendre le terme proposé par S. SASSEN, assurent des fonctions de commandement dans le domaine financier (bourses du NYSE et du NASDAQ à New York, bourse du JEG à Tokyo), dans le domaine des</w:t>
      </w:r>
      <w:r w:rsidR="007A7BE6" w:rsidRPr="00CA40FA">
        <w:rPr>
          <w:sz w:val="24"/>
        </w:rPr>
        <w:t xml:space="preserve"> banques et des</w:t>
      </w:r>
      <w:r w:rsidR="00D86689" w:rsidRPr="00CA40FA">
        <w:rPr>
          <w:sz w:val="24"/>
        </w:rPr>
        <w:t xml:space="preserve"> assurances (</w:t>
      </w:r>
      <w:r w:rsidR="007A7BE6" w:rsidRPr="00CA40FA">
        <w:rPr>
          <w:sz w:val="24"/>
        </w:rPr>
        <w:t xml:space="preserve">HSBC et </w:t>
      </w:r>
      <w:r w:rsidR="00D86689" w:rsidRPr="00CA40FA">
        <w:rPr>
          <w:sz w:val="24"/>
        </w:rPr>
        <w:t>Lloyd’s à Londres) et ont une ouverture internationale maximale (</w:t>
      </w:r>
      <w:r w:rsidR="007A7BE6" w:rsidRPr="00CA40FA">
        <w:rPr>
          <w:sz w:val="24"/>
        </w:rPr>
        <w:t>aéroport de Singapour, attractivité touristique de Paris). Certaines villes (</w:t>
      </w:r>
      <w:r w:rsidR="002161BD" w:rsidRPr="00CA40FA">
        <w:rPr>
          <w:sz w:val="24"/>
        </w:rPr>
        <w:t>Chicago</w:t>
      </w:r>
      <w:r w:rsidR="007A7BE6" w:rsidRPr="00CA40FA">
        <w:rPr>
          <w:sz w:val="24"/>
        </w:rPr>
        <w:t>,</w:t>
      </w:r>
      <w:r w:rsidR="002161BD" w:rsidRPr="00CA40FA">
        <w:rPr>
          <w:sz w:val="24"/>
        </w:rPr>
        <w:t xml:space="preserve"> Atlanta,</w:t>
      </w:r>
      <w:r w:rsidR="007A7BE6" w:rsidRPr="00CA40FA">
        <w:rPr>
          <w:sz w:val="24"/>
        </w:rPr>
        <w:t xml:space="preserve"> Milan, Sao Paulo, Mumbai, Sydney, Johannesburg, Dubaï) sont des relais essentiels.  </w:t>
      </w:r>
    </w:p>
    <w:p w:rsidR="00A906D9" w:rsidRPr="00CA40FA" w:rsidRDefault="00A906D9" w:rsidP="00F2189D">
      <w:pPr>
        <w:spacing w:after="0"/>
        <w:jc w:val="both"/>
        <w:rPr>
          <w:sz w:val="24"/>
        </w:rPr>
      </w:pPr>
    </w:p>
    <w:p w:rsidR="007A7BE6" w:rsidRPr="00CA40FA" w:rsidRDefault="00CA40FA" w:rsidP="00F2189D">
      <w:pPr>
        <w:spacing w:after="0"/>
        <w:jc w:val="both"/>
        <w:rPr>
          <w:sz w:val="24"/>
        </w:rPr>
      </w:pPr>
      <w:r w:rsidRPr="00CA40FA">
        <w:rPr>
          <w:sz w:val="24"/>
        </w:rPr>
        <w:t xml:space="preserve">Le transport maritime assure 80% des échanges mondiaux. </w:t>
      </w:r>
      <w:r w:rsidR="00A906D9" w:rsidRPr="00CA40FA">
        <w:rPr>
          <w:sz w:val="24"/>
        </w:rPr>
        <w:t xml:space="preserve">La recherche d'une efficacité économique croissante entraîne la </w:t>
      </w:r>
      <w:r w:rsidR="00A906D9" w:rsidRPr="00CA40FA">
        <w:rPr>
          <w:b/>
          <w:sz w:val="24"/>
        </w:rPr>
        <w:t>littoralisation des hommes et des activités</w:t>
      </w:r>
      <w:r w:rsidR="00A906D9" w:rsidRPr="00CA40FA">
        <w:rPr>
          <w:sz w:val="24"/>
        </w:rPr>
        <w:t>.</w:t>
      </w:r>
      <w:r w:rsidR="007A7BE6" w:rsidRPr="00CA40FA">
        <w:rPr>
          <w:sz w:val="24"/>
        </w:rPr>
        <w:t xml:space="preserve">Lloyd’s a récemment publié une liste des 100 premiers ports mondiaux </w:t>
      </w:r>
      <w:r w:rsidRPr="00CA40FA">
        <w:rPr>
          <w:sz w:val="24"/>
        </w:rPr>
        <w:t>(</w:t>
      </w:r>
      <w:r w:rsidR="007A7BE6" w:rsidRPr="00CA40FA">
        <w:rPr>
          <w:sz w:val="24"/>
        </w:rPr>
        <w:t>conteneurs traités</w:t>
      </w:r>
      <w:r w:rsidRPr="00CA40FA">
        <w:rPr>
          <w:rStyle w:val="Appelnotedebasdep"/>
          <w:sz w:val="24"/>
        </w:rPr>
        <w:footnoteReference w:id="2"/>
      </w:r>
      <w:r w:rsidRPr="00CA40FA">
        <w:rPr>
          <w:sz w:val="24"/>
        </w:rPr>
        <w:t>)</w:t>
      </w:r>
      <w:r w:rsidR="007A7BE6" w:rsidRPr="00CA40FA">
        <w:rPr>
          <w:sz w:val="24"/>
        </w:rPr>
        <w:t xml:space="preserve">. Dans ce classement </w:t>
      </w:r>
      <w:r w:rsidR="00E81F48" w:rsidRPr="00CA40FA">
        <w:rPr>
          <w:sz w:val="24"/>
        </w:rPr>
        <w:t xml:space="preserve">figurent </w:t>
      </w:r>
      <w:r w:rsidR="007A7BE6" w:rsidRPr="00CA40FA">
        <w:rPr>
          <w:sz w:val="24"/>
        </w:rPr>
        <w:t>essentiellement des ports asiatiques. On trouve dans l’ordre : le port de Shanghai (42 000 000 EVP traités en 2018), le port de Singapour (37 000 000 EVP traités en 2018), le port de Ningbo-</w:t>
      </w:r>
      <w:proofErr w:type="spellStart"/>
      <w:r w:rsidR="007A7BE6" w:rsidRPr="00CA40FA">
        <w:rPr>
          <w:sz w:val="24"/>
        </w:rPr>
        <w:t>Zhoushan</w:t>
      </w:r>
      <w:proofErr w:type="spellEnd"/>
      <w:r w:rsidR="007A7BE6" w:rsidRPr="00CA40FA">
        <w:rPr>
          <w:sz w:val="24"/>
        </w:rPr>
        <w:t xml:space="preserve"> en Chine (26 000 000 EVP traités en 2018), le port de Shenzhen en Chine (25 000 000 EVP traités en 2018), le port de Guangzhou en Chine (22 000 000 EVP traités en </w:t>
      </w:r>
      <w:r w:rsidRPr="00CA40FA">
        <w:rPr>
          <w:sz w:val="24"/>
        </w:rPr>
        <w:t>2018) et le port de B</w:t>
      </w:r>
      <w:r w:rsidR="002161BD" w:rsidRPr="00CA40FA">
        <w:rPr>
          <w:sz w:val="24"/>
        </w:rPr>
        <w:t>usan en Corée (21 000 000 EVP traités en 2018). Il s’agit de lieux qui associent infrastructures de production, de stockage et de transport. On parle alors de Zone Industrialo-portuaires. Des ports américains (Los Angeles-Long Beach, Savannah, Vancouver, Houston), européens (Rotterdam, Anvers) et africains (Tanger, Port Saïd, Durban) figurent en bonne</w:t>
      </w:r>
      <w:r>
        <w:rPr>
          <w:sz w:val="24"/>
        </w:rPr>
        <w:t xml:space="preserve"> place dans ce classement. Quatre</w:t>
      </w:r>
      <w:r w:rsidR="002161BD" w:rsidRPr="00CA40FA">
        <w:rPr>
          <w:sz w:val="24"/>
        </w:rPr>
        <w:t xml:space="preserve"> grandes façades maritimes mondiales (européenne du Havre à Hambourg ; américaine</w:t>
      </w:r>
      <w:r w:rsidRPr="00CA40FA">
        <w:rPr>
          <w:sz w:val="24"/>
        </w:rPr>
        <w:t>s</w:t>
      </w:r>
      <w:r w:rsidR="002161BD" w:rsidRPr="00CA40FA">
        <w:rPr>
          <w:sz w:val="24"/>
        </w:rPr>
        <w:t xml:space="preserve"> du nord de Boston à Miami</w:t>
      </w:r>
      <w:r w:rsidRPr="00CA40FA">
        <w:rPr>
          <w:sz w:val="24"/>
        </w:rPr>
        <w:t xml:space="preserve"> et sur la côte pacifique entre Los Angeles et San Diego</w:t>
      </w:r>
      <w:r w:rsidR="002161BD" w:rsidRPr="00CA40FA">
        <w:rPr>
          <w:sz w:val="24"/>
        </w:rPr>
        <w:t xml:space="preserve"> ; asiatique de Tokyo à Singapour) apparaissent. </w:t>
      </w:r>
      <w:bookmarkStart w:id="0" w:name="_GoBack"/>
      <w:bookmarkEnd w:id="0"/>
    </w:p>
    <w:p w:rsidR="00A906D9" w:rsidRPr="00F2189D" w:rsidRDefault="00A906D9" w:rsidP="00F2189D">
      <w:pPr>
        <w:spacing w:after="0"/>
        <w:jc w:val="both"/>
        <w:rPr>
          <w:sz w:val="24"/>
        </w:rPr>
      </w:pPr>
    </w:p>
    <w:sectPr w:rsidR="00A906D9" w:rsidRPr="00F2189D" w:rsidSect="00A906D9">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BE6" w:rsidRDefault="007A7BE6" w:rsidP="00A906D9">
      <w:pPr>
        <w:spacing w:after="0" w:line="240" w:lineRule="auto"/>
      </w:pPr>
      <w:r>
        <w:separator/>
      </w:r>
    </w:p>
  </w:endnote>
  <w:endnote w:type="continuationSeparator" w:id="1">
    <w:p w:rsidR="007A7BE6" w:rsidRDefault="007A7BE6" w:rsidP="00A90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53735"/>
      <w:docPartObj>
        <w:docPartGallery w:val="Page Numbers (Bottom of Page)"/>
        <w:docPartUnique/>
      </w:docPartObj>
    </w:sdtPr>
    <w:sdtContent>
      <w:p w:rsidR="007A7BE6" w:rsidRDefault="00810604">
        <w:pPr>
          <w:pStyle w:val="Pieddepage"/>
          <w:jc w:val="center"/>
        </w:pPr>
        <w:r>
          <w:rPr>
            <w:noProof/>
          </w:rPr>
          <w:fldChar w:fldCharType="begin"/>
        </w:r>
        <w:r w:rsidR="00CA40FA">
          <w:rPr>
            <w:noProof/>
          </w:rPr>
          <w:instrText xml:space="preserve"> PAGE   \* MERGEFORMAT </w:instrText>
        </w:r>
        <w:r>
          <w:rPr>
            <w:noProof/>
          </w:rPr>
          <w:fldChar w:fldCharType="separate"/>
        </w:r>
        <w:r w:rsidR="00E7046B">
          <w:rPr>
            <w:noProof/>
          </w:rPr>
          <w:t>4</w:t>
        </w:r>
        <w:r>
          <w:rPr>
            <w:noProof/>
          </w:rPr>
          <w:fldChar w:fldCharType="end"/>
        </w:r>
      </w:p>
    </w:sdtContent>
  </w:sdt>
  <w:p w:rsidR="007A7BE6" w:rsidRDefault="007A7BE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BE6" w:rsidRDefault="007A7BE6" w:rsidP="00A906D9">
      <w:pPr>
        <w:spacing w:after="0" w:line="240" w:lineRule="auto"/>
      </w:pPr>
      <w:r>
        <w:separator/>
      </w:r>
    </w:p>
  </w:footnote>
  <w:footnote w:type="continuationSeparator" w:id="1">
    <w:p w:rsidR="007A7BE6" w:rsidRDefault="007A7BE6" w:rsidP="00A906D9">
      <w:pPr>
        <w:spacing w:after="0" w:line="240" w:lineRule="auto"/>
      </w:pPr>
      <w:r>
        <w:continuationSeparator/>
      </w:r>
    </w:p>
  </w:footnote>
  <w:footnote w:id="2">
    <w:p w:rsidR="00CA40FA" w:rsidRDefault="00CA40FA">
      <w:pPr>
        <w:pStyle w:val="Notedebasdepage"/>
      </w:pPr>
      <w:r>
        <w:rPr>
          <w:rStyle w:val="Appelnotedebasdep"/>
        </w:rPr>
        <w:footnoteRef/>
      </w:r>
      <w:r>
        <w:t xml:space="preserve"> 1 petit conteneur (20 pieds de long) compte 1 EVP ; un grand conteneur (40 pieds de long) compte 2 EVP.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2189D"/>
    <w:rsid w:val="000A0919"/>
    <w:rsid w:val="002161BD"/>
    <w:rsid w:val="007A7BE6"/>
    <w:rsid w:val="00810604"/>
    <w:rsid w:val="00A906D9"/>
    <w:rsid w:val="00CA40FA"/>
    <w:rsid w:val="00D86689"/>
    <w:rsid w:val="00E7046B"/>
    <w:rsid w:val="00E81F48"/>
    <w:rsid w:val="00F2189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6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218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A906D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906D9"/>
  </w:style>
  <w:style w:type="paragraph" w:styleId="Pieddepage">
    <w:name w:val="footer"/>
    <w:basedOn w:val="Normal"/>
    <w:link w:val="PieddepageCar"/>
    <w:uiPriority w:val="99"/>
    <w:unhideWhenUsed/>
    <w:rsid w:val="00A906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06D9"/>
  </w:style>
  <w:style w:type="paragraph" w:styleId="Textedebulles">
    <w:name w:val="Balloon Text"/>
    <w:basedOn w:val="Normal"/>
    <w:link w:val="TextedebullesCar"/>
    <w:uiPriority w:val="99"/>
    <w:semiHidden/>
    <w:unhideWhenUsed/>
    <w:rsid w:val="00A906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06D9"/>
    <w:rPr>
      <w:rFonts w:ascii="Tahoma" w:hAnsi="Tahoma" w:cs="Tahoma"/>
      <w:sz w:val="16"/>
      <w:szCs w:val="16"/>
    </w:rPr>
  </w:style>
  <w:style w:type="paragraph" w:styleId="Notedebasdepage">
    <w:name w:val="footnote text"/>
    <w:basedOn w:val="Normal"/>
    <w:link w:val="NotedebasdepageCar"/>
    <w:uiPriority w:val="99"/>
    <w:semiHidden/>
    <w:unhideWhenUsed/>
    <w:rsid w:val="00CA40F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A40FA"/>
    <w:rPr>
      <w:sz w:val="20"/>
      <w:szCs w:val="20"/>
    </w:rPr>
  </w:style>
  <w:style w:type="character" w:styleId="Appelnotedebasdep">
    <w:name w:val="footnote reference"/>
    <w:basedOn w:val="Policepardfaut"/>
    <w:uiPriority w:val="99"/>
    <w:semiHidden/>
    <w:unhideWhenUsed/>
    <w:rsid w:val="00CA40FA"/>
    <w:rPr>
      <w:vertAlign w:val="superscript"/>
    </w:rPr>
  </w:style>
</w:styles>
</file>

<file path=word/webSettings.xml><?xml version="1.0" encoding="utf-8"?>
<w:webSettings xmlns:r="http://schemas.openxmlformats.org/officeDocument/2006/relationships" xmlns:w="http://schemas.openxmlformats.org/wordprocessingml/2006/main">
  <w:divs>
    <w:div w:id="1126512337">
      <w:bodyDiv w:val="1"/>
      <w:marLeft w:val="0"/>
      <w:marRight w:val="0"/>
      <w:marTop w:val="0"/>
      <w:marBottom w:val="0"/>
      <w:divBdr>
        <w:top w:val="none" w:sz="0" w:space="0" w:color="auto"/>
        <w:left w:val="none" w:sz="0" w:space="0" w:color="auto"/>
        <w:bottom w:val="none" w:sz="0" w:space="0" w:color="auto"/>
        <w:right w:val="none" w:sz="0" w:space="0" w:color="auto"/>
      </w:divBdr>
    </w:div>
    <w:div w:id="15590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E1197-E908-4B82-AD5E-007A1457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589</Words>
  <Characters>3244</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kosso28r</dc:creator>
  <cp:lastModifiedBy>berth25e</cp:lastModifiedBy>
  <cp:revision>2</cp:revision>
  <dcterms:created xsi:type="dcterms:W3CDTF">2020-12-10T16:58:00Z</dcterms:created>
  <dcterms:modified xsi:type="dcterms:W3CDTF">2020-12-10T16:58:00Z</dcterms:modified>
</cp:coreProperties>
</file>