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2A6" w:rsidRDefault="00C702A6" w:rsidP="00C702A6">
      <w:pPr>
        <w:spacing w:line="240" w:lineRule="auto"/>
        <w:jc w:val="center"/>
        <w:rPr>
          <w:b/>
          <w:sz w:val="28"/>
          <w:szCs w:val="28"/>
        </w:rPr>
      </w:pPr>
      <w:r>
        <w:rPr>
          <w:b/>
          <w:sz w:val="28"/>
          <w:szCs w:val="28"/>
        </w:rPr>
        <w:t>DEUXIÈME PARTIE</w:t>
      </w:r>
    </w:p>
    <w:p w:rsidR="00C702A6" w:rsidRDefault="00C702A6" w:rsidP="00C702A6">
      <w:pPr>
        <w:spacing w:line="240" w:lineRule="auto"/>
        <w:jc w:val="center"/>
        <w:rPr>
          <w:b/>
          <w:sz w:val="28"/>
          <w:szCs w:val="28"/>
        </w:rPr>
      </w:pPr>
      <w:r>
        <w:rPr>
          <w:b/>
          <w:sz w:val="28"/>
          <w:szCs w:val="28"/>
        </w:rPr>
        <w:t>Étude critique de deux documents d’Histoire</w:t>
      </w:r>
    </w:p>
    <w:p w:rsidR="00C702A6" w:rsidRPr="00CC78DC" w:rsidRDefault="00C702A6" w:rsidP="00C702A6">
      <w:pPr>
        <w:spacing w:line="240" w:lineRule="auto"/>
        <w:jc w:val="both"/>
        <w:rPr>
          <w:b/>
          <w:sz w:val="32"/>
          <w:szCs w:val="32"/>
        </w:rPr>
      </w:pPr>
      <w:r w:rsidRPr="00CC78DC">
        <w:rPr>
          <w:b/>
          <w:sz w:val="32"/>
          <w:szCs w:val="32"/>
        </w:rPr>
        <w:t>Sujet - </w:t>
      </w:r>
      <w:r>
        <w:rPr>
          <w:b/>
          <w:sz w:val="32"/>
          <w:szCs w:val="32"/>
        </w:rPr>
        <w:t>Un foyer de conflit au XX</w:t>
      </w:r>
      <w:r w:rsidRPr="00C702A6">
        <w:rPr>
          <w:b/>
          <w:sz w:val="32"/>
          <w:szCs w:val="32"/>
          <w:vertAlign w:val="superscript"/>
        </w:rPr>
        <w:t>e</w:t>
      </w:r>
      <w:r>
        <w:rPr>
          <w:b/>
          <w:sz w:val="32"/>
          <w:szCs w:val="32"/>
        </w:rPr>
        <w:t xml:space="preserve"> siècle : le Proche et le Moyen Orient depuis la fin de la Seconde Guerre mondiale.</w:t>
      </w:r>
    </w:p>
    <w:p w:rsidR="00C702A6" w:rsidRPr="00AE2F23" w:rsidRDefault="00C702A6" w:rsidP="00C702A6">
      <w:pPr>
        <w:pBdr>
          <w:top w:val="single" w:sz="4" w:space="1" w:color="auto"/>
          <w:left w:val="single" w:sz="4" w:space="4" w:color="auto"/>
          <w:bottom w:val="single" w:sz="4" w:space="1" w:color="auto"/>
          <w:right w:val="single" w:sz="4" w:space="4" w:color="auto"/>
        </w:pBdr>
        <w:spacing w:line="240" w:lineRule="auto"/>
        <w:jc w:val="both"/>
        <w:rPr>
          <w:b/>
          <w:sz w:val="28"/>
          <w:szCs w:val="28"/>
        </w:rPr>
      </w:pPr>
      <w:r w:rsidRPr="00AE2F23">
        <w:rPr>
          <w:b/>
          <w:sz w:val="28"/>
          <w:szCs w:val="28"/>
        </w:rPr>
        <w:t>Consigne :</w:t>
      </w:r>
    </w:p>
    <w:p w:rsidR="00C702A6" w:rsidRDefault="00C702A6" w:rsidP="00C702A6">
      <w:pPr>
        <w:pBdr>
          <w:top w:val="single" w:sz="4" w:space="1" w:color="auto"/>
          <w:left w:val="single" w:sz="4" w:space="4" w:color="auto"/>
          <w:bottom w:val="single" w:sz="4" w:space="1" w:color="auto"/>
          <w:right w:val="single" w:sz="4" w:space="4" w:color="auto"/>
        </w:pBdr>
        <w:spacing w:line="240" w:lineRule="auto"/>
        <w:jc w:val="both"/>
        <w:rPr>
          <w:b/>
          <w:sz w:val="24"/>
          <w:szCs w:val="24"/>
        </w:rPr>
      </w:pPr>
      <w:r>
        <w:rPr>
          <w:b/>
          <w:sz w:val="24"/>
          <w:szCs w:val="24"/>
        </w:rPr>
        <w:t>À l’aide des deux documents et de vos connaissances vous expliquerez dans quelles mesures on peut affirmer que le Proche et le Moyen Orient constituent un foyer de conflits depuis la fin de la Seconde Guerre mondiale. </w:t>
      </w:r>
    </w:p>
    <w:p w:rsidR="00C702A6" w:rsidRPr="00CE1974" w:rsidRDefault="00C702A6" w:rsidP="00C702A6">
      <w:pPr>
        <w:pBdr>
          <w:top w:val="single" w:sz="4" w:space="1" w:color="auto"/>
          <w:left w:val="single" w:sz="4" w:space="4" w:color="auto"/>
          <w:bottom w:val="single" w:sz="4" w:space="1" w:color="auto"/>
          <w:right w:val="single" w:sz="4" w:space="4" w:color="auto"/>
        </w:pBdr>
        <w:spacing w:line="240" w:lineRule="auto"/>
        <w:jc w:val="both"/>
        <w:rPr>
          <w:b/>
          <w:sz w:val="24"/>
          <w:szCs w:val="24"/>
        </w:rPr>
      </w:pPr>
    </w:p>
    <w:p w:rsidR="00C702A6" w:rsidRDefault="00C702A6" w:rsidP="00C702A6">
      <w:pPr>
        <w:spacing w:line="240" w:lineRule="auto"/>
        <w:jc w:val="center"/>
        <w:rPr>
          <w:b/>
          <w:sz w:val="28"/>
          <w:szCs w:val="28"/>
        </w:rPr>
      </w:pPr>
    </w:p>
    <w:p w:rsidR="00C702A6" w:rsidRPr="00B802F9" w:rsidRDefault="00C702A6" w:rsidP="00C702A6">
      <w:pPr>
        <w:jc w:val="center"/>
        <w:rPr>
          <w:b/>
          <w:sz w:val="28"/>
          <w:szCs w:val="28"/>
        </w:rPr>
      </w:pPr>
      <w:r w:rsidRPr="00B802F9">
        <w:rPr>
          <w:b/>
          <w:sz w:val="28"/>
          <w:szCs w:val="28"/>
        </w:rPr>
        <w:t>Document 1. « </w:t>
      </w:r>
      <w:r>
        <w:rPr>
          <w:b/>
          <w:sz w:val="28"/>
          <w:szCs w:val="28"/>
        </w:rPr>
        <w:t>La signature des accords d’Oslo-Washington entre Israël et l’OLP</w:t>
      </w:r>
      <w:r w:rsidRPr="00B802F9">
        <w:rPr>
          <w:b/>
          <w:sz w:val="28"/>
          <w:szCs w:val="28"/>
        </w:rPr>
        <w:t> »</w:t>
      </w:r>
    </w:p>
    <w:p w:rsidR="00C702A6" w:rsidRDefault="00C702A6" w:rsidP="00C702A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Georgia" w:eastAsia="Times New Roman" w:hAnsi="Georgia" w:cs="Times New Roman"/>
          <w:color w:val="2A303B"/>
          <w:kern w:val="36"/>
          <w:sz w:val="32"/>
          <w:szCs w:val="32"/>
          <w:lang w:eastAsia="fr-FR"/>
        </w:rPr>
      </w:pPr>
      <w:r>
        <w:rPr>
          <w:rFonts w:ascii="Georgia" w:eastAsia="Times New Roman" w:hAnsi="Georgia" w:cs="Times New Roman"/>
          <w:noProof/>
          <w:color w:val="2A303B"/>
          <w:kern w:val="36"/>
          <w:sz w:val="32"/>
          <w:szCs w:val="32"/>
          <w:lang w:eastAsia="fr-FR"/>
        </w:rPr>
        <w:drawing>
          <wp:inline distT="0" distB="0" distL="0" distR="0">
            <wp:extent cx="6645910" cy="4537075"/>
            <wp:effectExtent l="19050" t="0" r="2540" b="0"/>
            <wp:docPr id="1" name="Image 0" descr="Bill_Clinton,_Yitzhak_Rabin,_Yasser_Arafat_at_the_White_House_1993-0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_Clinton,_Yitzhak_Rabin,_Yasser_Arafat_at_the_White_House_1993-09-13.jpg"/>
                    <pic:cNvPicPr/>
                  </pic:nvPicPr>
                  <pic:blipFill>
                    <a:blip r:embed="rId4" cstate="print"/>
                    <a:stretch>
                      <a:fillRect/>
                    </a:stretch>
                  </pic:blipFill>
                  <pic:spPr>
                    <a:xfrm>
                      <a:off x="0" y="0"/>
                      <a:ext cx="6645910" cy="4537075"/>
                    </a:xfrm>
                    <a:prstGeom prst="rect">
                      <a:avLst/>
                    </a:prstGeom>
                  </pic:spPr>
                </pic:pic>
              </a:graphicData>
            </a:graphic>
          </wp:inline>
        </w:drawing>
      </w:r>
    </w:p>
    <w:p w:rsidR="00C702A6" w:rsidRDefault="00C702A6" w:rsidP="00C702A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color w:val="383F4E"/>
          <w:lang w:eastAsia="fr-FR"/>
        </w:rPr>
      </w:pPr>
      <w:r>
        <w:rPr>
          <w:rFonts w:eastAsia="Times New Roman" w:cs="Times New Roman"/>
          <w:color w:val="383F4E"/>
          <w:lang w:eastAsia="fr-FR"/>
        </w:rPr>
        <w:t>SOURCE : Maison Blanche</w:t>
      </w:r>
    </w:p>
    <w:p w:rsidR="00C702A6" w:rsidRPr="002832FF" w:rsidRDefault="00C702A6" w:rsidP="00C702A6">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eastAsia="Times New Roman" w:cs="Times New Roman"/>
          <w:color w:val="383F4E"/>
          <w:lang w:eastAsia="fr-FR"/>
        </w:rPr>
      </w:pPr>
      <w:r>
        <w:rPr>
          <w:rFonts w:eastAsia="Times New Roman" w:cs="Times New Roman"/>
          <w:color w:val="383F4E"/>
          <w:lang w:eastAsia="fr-FR"/>
        </w:rPr>
        <w:t>De gauche à droite, Yitzhak RABIN, Premier Ministre d’Israël, Bill CLINTON, président des États-Unis d’Amérique (Démocrate, 1992-2000) et Yasser ARAFAT, principal dirigeant de l’</w:t>
      </w:r>
      <w:r w:rsidRPr="00C702A6">
        <w:rPr>
          <w:rFonts w:eastAsia="Times New Roman" w:cs="Times New Roman"/>
          <w:color w:val="383F4E"/>
          <w:u w:val="single"/>
          <w:lang w:eastAsia="fr-FR"/>
        </w:rPr>
        <w:t>O</w:t>
      </w:r>
      <w:r>
        <w:rPr>
          <w:rFonts w:eastAsia="Times New Roman" w:cs="Times New Roman"/>
          <w:color w:val="383F4E"/>
          <w:lang w:eastAsia="fr-FR"/>
        </w:rPr>
        <w:t xml:space="preserve">rganisation de </w:t>
      </w:r>
      <w:r w:rsidRPr="00C702A6">
        <w:rPr>
          <w:rFonts w:eastAsia="Times New Roman" w:cs="Times New Roman"/>
          <w:color w:val="383F4E"/>
          <w:u w:val="single"/>
          <w:lang w:eastAsia="fr-FR"/>
        </w:rPr>
        <w:t>L</w:t>
      </w:r>
      <w:r>
        <w:rPr>
          <w:rFonts w:eastAsia="Times New Roman" w:cs="Times New Roman"/>
          <w:color w:val="383F4E"/>
          <w:lang w:eastAsia="fr-FR"/>
        </w:rPr>
        <w:t xml:space="preserve">ibération de la </w:t>
      </w:r>
      <w:r w:rsidRPr="00C702A6">
        <w:rPr>
          <w:rFonts w:eastAsia="Times New Roman" w:cs="Times New Roman"/>
          <w:color w:val="383F4E"/>
          <w:u w:val="single"/>
          <w:lang w:eastAsia="fr-FR"/>
        </w:rPr>
        <w:t>P</w:t>
      </w:r>
      <w:r>
        <w:rPr>
          <w:rFonts w:eastAsia="Times New Roman" w:cs="Times New Roman"/>
          <w:color w:val="383F4E"/>
          <w:lang w:eastAsia="fr-FR"/>
        </w:rPr>
        <w:t>alestine (OLP) à Washington devant la Maison Blanche le 13 septembre 1993. </w:t>
      </w:r>
    </w:p>
    <w:p w:rsidR="00C702A6" w:rsidRPr="009F2306" w:rsidRDefault="00C702A6" w:rsidP="00C702A6">
      <w:pPr>
        <w:jc w:val="right"/>
        <w:rPr>
          <w:b/>
          <w:sz w:val="28"/>
          <w:szCs w:val="28"/>
        </w:rPr>
      </w:pPr>
      <w:r>
        <w:rPr>
          <w:b/>
          <w:sz w:val="28"/>
          <w:szCs w:val="28"/>
        </w:rPr>
        <w:t>Page 1/2</w:t>
      </w:r>
      <w:r w:rsidRPr="005068D4">
        <w:rPr>
          <w:b/>
          <w:sz w:val="28"/>
          <w:szCs w:val="28"/>
        </w:rPr>
        <w:t> </w:t>
      </w:r>
    </w:p>
    <w:p w:rsidR="00C702A6" w:rsidRDefault="00C702A6" w:rsidP="00706923">
      <w:pPr>
        <w:spacing w:after="0" w:line="240" w:lineRule="auto"/>
        <w:jc w:val="center"/>
        <w:rPr>
          <w:b/>
          <w:sz w:val="28"/>
          <w:szCs w:val="28"/>
        </w:rPr>
      </w:pPr>
      <w:r w:rsidRPr="00706923">
        <w:rPr>
          <w:b/>
          <w:sz w:val="28"/>
          <w:szCs w:val="28"/>
        </w:rPr>
        <w:lastRenderedPageBreak/>
        <w:t>Document 2 «</w:t>
      </w:r>
      <w:r w:rsidR="00706923" w:rsidRPr="00706923">
        <w:rPr>
          <w:rFonts w:ascii="Times New Roman" w:eastAsia="Times New Roman" w:hAnsi="Times New Roman" w:cs="Times New Roman"/>
          <w:b/>
          <w:bCs/>
          <w:kern w:val="36"/>
          <w:sz w:val="28"/>
          <w:szCs w:val="28"/>
          <w:lang w:eastAsia="fr-FR"/>
        </w:rPr>
        <w:t>Pourquoi l’intifada des couteaux continue ?</w:t>
      </w:r>
      <w:r w:rsidRPr="00706923">
        <w:rPr>
          <w:b/>
          <w:sz w:val="28"/>
          <w:szCs w:val="28"/>
        </w:rPr>
        <w:t> »</w:t>
      </w:r>
    </w:p>
    <w:p w:rsidR="00C702A6" w:rsidRDefault="00944A79" w:rsidP="00C702A6">
      <w:pPr>
        <w:jc w:val="both"/>
        <w:rPr>
          <w:b/>
        </w:rPr>
      </w:pPr>
      <w:r w:rsidRPr="00944A79">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15.25pt;margin-top:41.4pt;width:507.7pt;height:634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v:textbox style="mso-next-textbox:#Zone de texte 2">
              <w:txbxContent>
                <w:p w:rsidR="00706923" w:rsidRPr="00D57EBF" w:rsidRDefault="00706923" w:rsidP="0070692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D57EBF">
                    <w:rPr>
                      <w:rFonts w:ascii="Times New Roman" w:eastAsia="Times New Roman" w:hAnsi="Times New Roman" w:cs="Times New Roman"/>
                      <w:sz w:val="24"/>
                      <w:szCs w:val="24"/>
                      <w:lang w:eastAsia="fr-FR"/>
                    </w:rPr>
                    <w:t>On a pu croire un moment, en décembre-janvier, que l’«</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intifada des couteaux</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 qui désigne les attaques commises par de jeunes Palestiniens avec des outils coupants contre des soldats, des colons et parfois des civils israélie</w:t>
                  </w:r>
                  <w:r>
                    <w:rPr>
                      <w:rFonts w:ascii="Times New Roman" w:eastAsia="Times New Roman" w:hAnsi="Times New Roman" w:cs="Times New Roman"/>
                      <w:sz w:val="24"/>
                      <w:szCs w:val="24"/>
                      <w:lang w:eastAsia="fr-FR"/>
                    </w:rPr>
                    <w:t>ns à l’intérieur même d’Israël</w:t>
                  </w:r>
                  <w:r w:rsidRPr="00D57EBF">
                    <w:rPr>
                      <w:rFonts w:ascii="Times New Roman" w:eastAsia="Times New Roman" w:hAnsi="Times New Roman" w:cs="Times New Roman"/>
                      <w:sz w:val="24"/>
                      <w:szCs w:val="24"/>
                      <w:lang w:eastAsia="fr-FR"/>
                    </w:rPr>
                    <w:t>, lancée le 1</w:t>
                  </w:r>
                  <w:r w:rsidRPr="00D57EBF">
                    <w:rPr>
                      <w:rFonts w:ascii="Times New Roman" w:eastAsia="Times New Roman" w:hAnsi="Times New Roman" w:cs="Times New Roman"/>
                      <w:sz w:val="24"/>
                      <w:szCs w:val="24"/>
                      <w:vertAlign w:val="superscript"/>
                      <w:lang w:eastAsia="fr-FR"/>
                    </w:rPr>
                    <w:t>er</w:t>
                  </w:r>
                  <w:r w:rsidRPr="00D57EBF">
                    <w:rPr>
                      <w:rFonts w:ascii="Times New Roman" w:eastAsia="Times New Roman" w:hAnsi="Times New Roman" w:cs="Times New Roman"/>
                      <w:sz w:val="24"/>
                      <w:szCs w:val="24"/>
                      <w:lang w:eastAsia="fr-FR"/>
                    </w:rPr>
                    <w:t xml:space="preserve"> octobre 2015 par l’assassinat d’un couple de résidents de la colonie religieuse de </w:t>
                  </w:r>
                  <w:proofErr w:type="spellStart"/>
                  <w:r w:rsidRPr="00D57EBF">
                    <w:rPr>
                      <w:rFonts w:ascii="Times New Roman" w:eastAsia="Times New Roman" w:hAnsi="Times New Roman" w:cs="Times New Roman"/>
                      <w:sz w:val="24"/>
                      <w:szCs w:val="24"/>
                      <w:lang w:eastAsia="fr-FR"/>
                    </w:rPr>
                    <w:t>Neria</w:t>
                  </w:r>
                  <w:proofErr w:type="spellEnd"/>
                  <w:r w:rsidRPr="00D57EBF">
                    <w:rPr>
                      <w:rFonts w:ascii="Times New Roman" w:eastAsia="Times New Roman" w:hAnsi="Times New Roman" w:cs="Times New Roman"/>
                      <w:sz w:val="24"/>
                      <w:szCs w:val="24"/>
                      <w:lang w:eastAsia="fr-FR"/>
                    </w:rPr>
                    <w:t xml:space="preserve">, s’essoufflait et déclinait. On constate qu’il n’en est rien. Vendredi 19 février, deux membres de la police des frontières étaient attaqués au couteau à la porte de Damas, une des principales entrées de la Vieille Ville de Jérusalem, et légèrement blessés par un Palestinien de vingt ans du village de </w:t>
                  </w:r>
                  <w:proofErr w:type="spellStart"/>
                  <w:r w:rsidRPr="00D57EBF">
                    <w:rPr>
                      <w:rFonts w:ascii="Times New Roman" w:eastAsia="Times New Roman" w:hAnsi="Times New Roman" w:cs="Times New Roman"/>
                      <w:sz w:val="24"/>
                      <w:szCs w:val="24"/>
                      <w:lang w:eastAsia="fr-FR"/>
                    </w:rPr>
                    <w:t>KfarAqab</w:t>
                  </w:r>
                  <w:proofErr w:type="spellEnd"/>
                  <w:r w:rsidRPr="00D57EBF">
                    <w:rPr>
                      <w:rFonts w:ascii="Times New Roman" w:eastAsia="Times New Roman" w:hAnsi="Times New Roman" w:cs="Times New Roman"/>
                      <w:sz w:val="24"/>
                      <w:szCs w:val="24"/>
                      <w:lang w:eastAsia="fr-FR"/>
                    </w:rPr>
                    <w:t>, situé à l’intérieur des limites municipales de la ville. Comme dans la grande majorité des cas, l’assaillant était abattu aussitôt par les forces israéliennes. (…)</w:t>
                  </w:r>
                </w:p>
                <w:p w:rsidR="00706923" w:rsidRPr="00D57EBF" w:rsidRDefault="00706923" w:rsidP="00706923">
                  <w:pPr>
                    <w:spacing w:after="0" w:line="240" w:lineRule="auto"/>
                    <w:jc w:val="both"/>
                    <w:rPr>
                      <w:rFonts w:ascii="Times New Roman" w:eastAsia="Times New Roman" w:hAnsi="Times New Roman" w:cs="Times New Roman"/>
                      <w:sz w:val="24"/>
                      <w:szCs w:val="24"/>
                      <w:lang w:eastAsia="fr-FR"/>
                    </w:rPr>
                  </w:pPr>
                </w:p>
                <w:p w:rsidR="00706923" w:rsidRPr="00D57EBF" w:rsidRDefault="00706923" w:rsidP="00706923">
                  <w:pPr>
                    <w:spacing w:after="0" w:line="240" w:lineRule="auto"/>
                    <w:jc w:val="both"/>
                    <w:rPr>
                      <w:rFonts w:ascii="Times New Roman" w:eastAsia="Times New Roman" w:hAnsi="Times New Roman" w:cs="Times New Roman"/>
                      <w:sz w:val="24"/>
                      <w:szCs w:val="24"/>
                      <w:lang w:eastAsia="fr-FR"/>
                    </w:rPr>
                  </w:pPr>
                  <w:r w:rsidRPr="00D57EBF">
                    <w:rPr>
                      <w:rFonts w:ascii="Times New Roman" w:eastAsia="Times New Roman" w:hAnsi="Times New Roman" w:cs="Times New Roman"/>
                      <w:sz w:val="24"/>
                      <w:szCs w:val="24"/>
                      <w:lang w:eastAsia="fr-FR"/>
                    </w:rPr>
                    <w:t>Qui sont les assaillants</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xml:space="preserve">? Le Shin </w:t>
                  </w:r>
                  <w:proofErr w:type="spellStart"/>
                  <w:r w:rsidRPr="00D57EBF">
                    <w:rPr>
                      <w:rFonts w:ascii="Times New Roman" w:eastAsia="Times New Roman" w:hAnsi="Times New Roman" w:cs="Times New Roman"/>
                      <w:sz w:val="24"/>
                      <w:szCs w:val="24"/>
                      <w:lang w:eastAsia="fr-FR"/>
                    </w:rPr>
                    <w:t>Bet</w:t>
                  </w:r>
                  <w:proofErr w:type="spellEnd"/>
                  <w:r w:rsidRPr="00D57EBF">
                    <w:rPr>
                      <w:rFonts w:ascii="Times New Roman" w:eastAsia="Times New Roman" w:hAnsi="Times New Roman" w:cs="Times New Roman"/>
                      <w:sz w:val="24"/>
                      <w:szCs w:val="24"/>
                      <w:lang w:eastAsia="fr-FR"/>
                    </w:rPr>
                    <w:t>, le service de sécurité intérieure israélien, a livré le 15 février un certain nombre de données : la moitié des 228 attaques palestiniennes «</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au couteau</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recensées depuis le 1</w:t>
                  </w:r>
                  <w:r w:rsidRPr="00D57EBF">
                    <w:rPr>
                      <w:rFonts w:ascii="Times New Roman" w:eastAsia="Times New Roman" w:hAnsi="Times New Roman" w:cs="Times New Roman"/>
                      <w:sz w:val="24"/>
                      <w:szCs w:val="24"/>
                      <w:vertAlign w:val="superscript"/>
                      <w:lang w:eastAsia="fr-FR"/>
                    </w:rPr>
                    <w:t>er</w:t>
                  </w:r>
                  <w:r w:rsidRPr="00D57EBF">
                    <w:rPr>
                      <w:rFonts w:ascii="Times New Roman" w:eastAsia="Times New Roman" w:hAnsi="Times New Roman" w:cs="Times New Roman"/>
                      <w:sz w:val="24"/>
                      <w:szCs w:val="24"/>
                      <w:lang w:eastAsia="fr-FR"/>
                    </w:rPr>
                    <w:t xml:space="preserve"> octobre 2015 ont été le fait </w:t>
                  </w:r>
                  <w:hyperlink r:id="rId5" w:history="1">
                    <w:r w:rsidRPr="00D57EBF">
                      <w:rPr>
                        <w:rFonts w:ascii="Times New Roman" w:eastAsia="Times New Roman" w:hAnsi="Times New Roman" w:cs="Times New Roman"/>
                        <w:sz w:val="24"/>
                        <w:szCs w:val="24"/>
                        <w:lang w:eastAsia="fr-FR"/>
                      </w:rPr>
                      <w:t>de jeunes de moins de 20 ans</w:t>
                    </w:r>
                  </w:hyperlink>
                  <w:r w:rsidRPr="00D57EBF">
                    <w:rPr>
                      <w:rFonts w:ascii="Times New Roman" w:eastAsia="Times New Roman" w:hAnsi="Times New Roman" w:cs="Times New Roman"/>
                      <w:sz w:val="24"/>
                      <w:szCs w:val="24"/>
                      <w:lang w:eastAsia="fr-FR"/>
                    </w:rPr>
                    <w:t>, dont 10</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avaient moins de 16 ans. Près de 90</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avaient moins de 25 ans, et les femmes constituaient 11</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d’entre eux. (…)</w:t>
                  </w:r>
                </w:p>
                <w:p w:rsidR="00706923" w:rsidRPr="00D57EBF" w:rsidRDefault="00706923" w:rsidP="00706923">
                  <w:pPr>
                    <w:spacing w:after="0" w:line="240" w:lineRule="auto"/>
                    <w:jc w:val="both"/>
                    <w:rPr>
                      <w:rFonts w:ascii="Times New Roman" w:eastAsia="Times New Roman" w:hAnsi="Times New Roman" w:cs="Times New Roman"/>
                      <w:sz w:val="24"/>
                      <w:szCs w:val="24"/>
                      <w:lang w:eastAsia="fr-FR"/>
                    </w:rPr>
                  </w:pPr>
                  <w:r w:rsidRPr="00D57EBF">
                    <w:rPr>
                      <w:rFonts w:ascii="Times New Roman" w:eastAsia="Times New Roman" w:hAnsi="Times New Roman" w:cs="Times New Roman"/>
                      <w:sz w:val="24"/>
                      <w:szCs w:val="24"/>
                      <w:lang w:eastAsia="fr-FR"/>
                    </w:rPr>
                    <w:t>Au bout d’un mois d’«</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intifada des couteaux</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xml:space="preserve">», un haut responsable du Shin </w:t>
                  </w:r>
                  <w:proofErr w:type="spellStart"/>
                  <w:r w:rsidRPr="00D57EBF">
                    <w:rPr>
                      <w:rFonts w:ascii="Times New Roman" w:eastAsia="Times New Roman" w:hAnsi="Times New Roman" w:cs="Times New Roman"/>
                      <w:sz w:val="24"/>
                      <w:szCs w:val="24"/>
                      <w:lang w:eastAsia="fr-FR"/>
                    </w:rPr>
                    <w:t>Bet</w:t>
                  </w:r>
                  <w:proofErr w:type="spellEnd"/>
                  <w:r w:rsidRPr="00D57EBF">
                    <w:rPr>
                      <w:rFonts w:ascii="Times New Roman" w:eastAsia="Times New Roman" w:hAnsi="Times New Roman" w:cs="Times New Roman"/>
                      <w:sz w:val="24"/>
                      <w:szCs w:val="24"/>
                      <w:lang w:eastAsia="fr-FR"/>
                    </w:rPr>
                    <w:t xml:space="preserve"> avait dû admettre que son organisme n’avait disposé d’informations sur aucun de ceux qui avaient perpétré ces attaques. Et que ces dernières n’avaient pas été préparées par ou avec le concours d’organisations palestiniennes connues, ni du côté laïc (Fatah, Front populaire de libération de la Palestine -– FPLP — notamment), ni du côté religieux (Hamas, </w:t>
                  </w:r>
                  <w:proofErr w:type="spellStart"/>
                  <w:r w:rsidRPr="00D57EBF">
                    <w:rPr>
                      <w:rFonts w:ascii="Times New Roman" w:eastAsia="Times New Roman" w:hAnsi="Times New Roman" w:cs="Times New Roman"/>
                      <w:sz w:val="24"/>
                      <w:szCs w:val="24"/>
                      <w:lang w:eastAsia="fr-FR"/>
                    </w:rPr>
                    <w:t>Djhad</w:t>
                  </w:r>
                  <w:proofErr w:type="spellEnd"/>
                  <w:r w:rsidRPr="00D57EBF">
                    <w:rPr>
                      <w:rFonts w:ascii="Times New Roman" w:eastAsia="Times New Roman" w:hAnsi="Times New Roman" w:cs="Times New Roman"/>
                      <w:sz w:val="24"/>
                      <w:szCs w:val="24"/>
                      <w:lang w:eastAsia="fr-FR"/>
                    </w:rPr>
                    <w:t xml:space="preserve"> islamique). (….)</w:t>
                  </w:r>
                </w:p>
                <w:p w:rsidR="00706923" w:rsidRPr="00D57EBF" w:rsidRDefault="00706923" w:rsidP="00706923">
                  <w:pPr>
                    <w:spacing w:after="0" w:line="240" w:lineRule="auto"/>
                    <w:jc w:val="both"/>
                    <w:rPr>
                      <w:rFonts w:ascii="Times New Roman" w:eastAsia="Times New Roman" w:hAnsi="Times New Roman" w:cs="Times New Roman"/>
                      <w:b/>
                      <w:bCs/>
                      <w:sz w:val="27"/>
                      <w:szCs w:val="27"/>
                      <w:lang w:eastAsia="fr-FR"/>
                    </w:rPr>
                  </w:pPr>
                </w:p>
                <w:p w:rsidR="00706923" w:rsidRDefault="00706923" w:rsidP="00706923">
                  <w:pPr>
                    <w:spacing w:after="0" w:line="240" w:lineRule="auto"/>
                    <w:jc w:val="both"/>
                    <w:rPr>
                      <w:rFonts w:ascii="Times New Roman" w:eastAsia="Times New Roman" w:hAnsi="Times New Roman" w:cs="Times New Roman"/>
                      <w:sz w:val="24"/>
                      <w:szCs w:val="24"/>
                      <w:lang w:eastAsia="fr-FR"/>
                    </w:rPr>
                  </w:pPr>
                  <w:r w:rsidRPr="00D57EBF">
                    <w:rPr>
                      <w:rFonts w:ascii="Times New Roman" w:eastAsia="Times New Roman" w:hAnsi="Times New Roman" w:cs="Times New Roman"/>
                      <w:sz w:val="24"/>
                      <w:szCs w:val="24"/>
                      <w:lang w:eastAsia="fr-FR"/>
                    </w:rPr>
                    <w:t xml:space="preserve">Vu l’attitude des forces de l’ordre israélienne, qui tirent souvent pour tuer préventivement, sur simple suspicion, avant que l’attaquant ait eu le temps de commettre son acte, il est clair que les jeunes qui se lancent dans ce genre d’attaques savent pertinemment qu’ils ont très peu de chances d’en sortir vivants. Ce sont les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 xml:space="preserve">enfants perdus </w:t>
                  </w:r>
                  <w:hyperlink r:id="rId6" w:history="1">
                    <w:r w:rsidRPr="00D57EBF">
                      <w:rPr>
                        <w:rFonts w:ascii="Times New Roman" w:eastAsia="Times New Roman" w:hAnsi="Times New Roman" w:cs="Times New Roman"/>
                        <w:i/>
                        <w:iCs/>
                        <w:sz w:val="24"/>
                        <w:szCs w:val="24"/>
                        <w:lang w:eastAsia="fr-FR"/>
                      </w:rPr>
                      <w:t>de la génération d’Oslo</w:t>
                    </w:r>
                  </w:hyperlink>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sz w:val="24"/>
                      <w:szCs w:val="24"/>
                      <w:lang w:eastAsia="fr-FR"/>
                    </w:rPr>
                    <w:t xml:space="preserve"> estime </w:t>
                  </w:r>
                  <w:proofErr w:type="spellStart"/>
                  <w:r w:rsidRPr="00D57EBF">
                    <w:rPr>
                      <w:rFonts w:ascii="Times New Roman" w:eastAsia="Times New Roman" w:hAnsi="Times New Roman" w:cs="Times New Roman"/>
                      <w:sz w:val="24"/>
                      <w:szCs w:val="24"/>
                      <w:lang w:eastAsia="fr-FR"/>
                    </w:rPr>
                    <w:t>AmiraHass</w:t>
                  </w:r>
                  <w:proofErr w:type="spellEnd"/>
                  <w:r w:rsidRPr="00D57EBF">
                    <w:rPr>
                      <w:rFonts w:ascii="Times New Roman" w:eastAsia="Times New Roman" w:hAnsi="Times New Roman" w:cs="Times New Roman"/>
                      <w:sz w:val="24"/>
                      <w:szCs w:val="24"/>
                      <w:lang w:eastAsia="fr-FR"/>
                    </w:rPr>
                    <w:t xml:space="preserve">, la correspondante du journal israélien </w:t>
                  </w:r>
                  <w:r w:rsidRPr="00D57EBF">
                    <w:rPr>
                      <w:rFonts w:ascii="Times New Roman" w:eastAsia="Times New Roman" w:hAnsi="Times New Roman" w:cs="Times New Roman"/>
                      <w:i/>
                      <w:iCs/>
                      <w:sz w:val="24"/>
                      <w:szCs w:val="24"/>
                      <w:lang w:eastAsia="fr-FR"/>
                    </w:rPr>
                    <w:t>Haaretz</w:t>
                  </w:r>
                  <w:r w:rsidRPr="00D57EBF">
                    <w:rPr>
                      <w:rFonts w:ascii="Times New Roman" w:eastAsia="Times New Roman" w:hAnsi="Times New Roman" w:cs="Times New Roman"/>
                      <w:sz w:val="24"/>
                      <w:szCs w:val="24"/>
                      <w:lang w:eastAsia="fr-FR"/>
                    </w:rPr>
                    <w:t xml:space="preserve"> dans les territoires palestiniens occupés, au cours d’un entretien avec l’auteur le 21 février. (…)</w:t>
                  </w:r>
                </w:p>
                <w:p w:rsidR="00706923" w:rsidRPr="00D57EBF" w:rsidRDefault="00706923" w:rsidP="00706923">
                  <w:pPr>
                    <w:spacing w:after="0" w:line="240" w:lineRule="auto"/>
                    <w:jc w:val="both"/>
                    <w:rPr>
                      <w:rFonts w:ascii="Times New Roman" w:eastAsia="Times New Roman" w:hAnsi="Times New Roman" w:cs="Times New Roman"/>
                      <w:sz w:val="24"/>
                      <w:szCs w:val="24"/>
                      <w:lang w:eastAsia="fr-FR"/>
                    </w:rPr>
                  </w:pPr>
                </w:p>
                <w:p w:rsidR="00706923" w:rsidRPr="00D57EBF" w:rsidRDefault="00706923" w:rsidP="00706923">
                  <w:pPr>
                    <w:spacing w:after="0" w:line="240" w:lineRule="auto"/>
                    <w:jc w:val="both"/>
                    <w:rPr>
                      <w:rFonts w:ascii="Times New Roman" w:eastAsia="Times New Roman" w:hAnsi="Times New Roman" w:cs="Times New Roman"/>
                      <w:sz w:val="24"/>
                      <w:szCs w:val="24"/>
                      <w:lang w:eastAsia="fr-FR"/>
                    </w:rPr>
                  </w:pPr>
                  <w:r w:rsidRPr="00D57EBF">
                    <w:rPr>
                      <w:rFonts w:ascii="Times New Roman" w:eastAsia="Times New Roman" w:hAnsi="Times New Roman" w:cs="Times New Roman"/>
                      <w:sz w:val="24"/>
                      <w:szCs w:val="24"/>
                      <w:lang w:eastAsia="fr-FR"/>
                    </w:rPr>
                    <w:t xml:space="preserve">Ces Palestiniens vivent dans le sentiment d’un horizon totalement bouché et de l’impossibilité de sortir de leur enfermement. Une claustration qui n’atteint pas la dimension de ce qui advient à Gaza, dit la journaliste, mais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le Mur leur indique que leur avenir est le même</w:t>
                  </w:r>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sz w:val="24"/>
                      <w:szCs w:val="24"/>
                      <w:lang w:eastAsia="fr-FR"/>
                    </w:rPr>
                    <w:t xml:space="preserve"> Étudier devient très difficile, travailler presque impossible, se déplacer est une épreuve, voyager un rêve. </w:t>
                  </w:r>
                </w:p>
                <w:p w:rsidR="00706923" w:rsidRDefault="00706923" w:rsidP="00706923">
                  <w:pPr>
                    <w:spacing w:after="0" w:line="240" w:lineRule="auto"/>
                    <w:jc w:val="both"/>
                    <w:rPr>
                      <w:rFonts w:ascii="Times New Roman" w:eastAsia="Times New Roman" w:hAnsi="Times New Roman" w:cs="Times New Roman"/>
                      <w:bCs/>
                      <w:sz w:val="27"/>
                      <w:szCs w:val="27"/>
                      <w:lang w:eastAsia="fr-FR"/>
                    </w:rPr>
                  </w:pPr>
                  <w:r w:rsidRPr="00D57EBF">
                    <w:rPr>
                      <w:rFonts w:ascii="Times New Roman" w:eastAsia="Times New Roman" w:hAnsi="Times New Roman" w:cs="Times New Roman"/>
                      <w:sz w:val="24"/>
                      <w:szCs w:val="24"/>
                      <w:lang w:eastAsia="fr-FR"/>
                    </w:rPr>
                    <w:t xml:space="preserve">À cela s’ajoute le poids de l’absence de leadership palestinien, avec une direction du Fatah vieillissante et discréditée, incapable de promouvoir une mobilisation populaire, et un Hamas isolé et n’offrant pas de réelle alternative. Indubitablement, la multiplication des agressions à l’arme blanche incluant la probabilité de sa propre mort violente implique un phénomène d’émulation entre ces jeunes. Mais elle ressort surtout de ce que </w:t>
                  </w:r>
                  <w:proofErr w:type="spellStart"/>
                  <w:r w:rsidRPr="00D57EBF">
                    <w:rPr>
                      <w:rFonts w:ascii="Times New Roman" w:eastAsia="Times New Roman" w:hAnsi="Times New Roman" w:cs="Times New Roman"/>
                      <w:sz w:val="24"/>
                      <w:szCs w:val="24"/>
                      <w:lang w:eastAsia="fr-FR"/>
                    </w:rPr>
                    <w:t>Hass</w:t>
                  </w:r>
                  <w:proofErr w:type="spellEnd"/>
                  <w:r w:rsidRPr="00D57EBF">
                    <w:rPr>
                      <w:rFonts w:ascii="Times New Roman" w:eastAsia="Times New Roman" w:hAnsi="Times New Roman" w:cs="Times New Roman"/>
                      <w:sz w:val="24"/>
                      <w:szCs w:val="24"/>
                      <w:lang w:eastAsia="fr-FR"/>
                    </w:rPr>
                    <w:t xml:space="preserve"> nomme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un désespoir actif</w:t>
                  </w:r>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sz w:val="24"/>
                      <w:szCs w:val="24"/>
                      <w:lang w:eastAsia="fr-FR"/>
                    </w:rPr>
                    <w:t xml:space="preserve"> sur fond de fragmentation et de passivité générale d’une société palestinienne abattue : les manifestations de soutien aux nouveaux «</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martyrs</w:t>
                  </w:r>
                  <w:r w:rsidRPr="00D57EBF">
                    <w:rPr>
                      <w:rFonts w:ascii="Times New Roman" w:eastAsia="Times New Roman" w:hAnsi="Times New Roman" w:cs="Times New Roman"/>
                      <w:sz w:val="20"/>
                      <w:szCs w:val="20"/>
                      <w:lang w:eastAsia="fr-FR"/>
                    </w:rPr>
                    <w:t> </w:t>
                  </w:r>
                  <w:r w:rsidRPr="00D57EBF">
                    <w:rPr>
                      <w:rFonts w:ascii="Times New Roman" w:eastAsia="Times New Roman" w:hAnsi="Times New Roman" w:cs="Times New Roman"/>
                      <w:sz w:val="24"/>
                      <w:szCs w:val="24"/>
                      <w:lang w:eastAsia="fr-FR"/>
                    </w:rPr>
                    <w:t xml:space="preserve">» rassemblent beaucoup moins de monde que, par exemple, les mobilisations identiques au début de la seconde intifada. Dans le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monde sans horizons</w:t>
                  </w:r>
                  <w:r w:rsidRPr="00D57EBF">
                    <w:rPr>
                      <w:rFonts w:ascii="Times New Roman" w:eastAsia="Times New Roman" w:hAnsi="Times New Roman" w:cs="Times New Roman"/>
                      <w:i/>
                      <w:iCs/>
                      <w:sz w:val="20"/>
                      <w:szCs w:val="20"/>
                      <w:lang w:eastAsia="fr-FR"/>
                    </w:rPr>
                    <w:t> </w:t>
                  </w:r>
                  <w:r w:rsidRPr="00D57EBF">
                    <w:rPr>
                      <w:rFonts w:ascii="Times New Roman" w:eastAsia="Times New Roman" w:hAnsi="Times New Roman" w:cs="Times New Roman"/>
                      <w:i/>
                      <w:iCs/>
                      <w:sz w:val="24"/>
                      <w:szCs w:val="24"/>
                      <w:lang w:eastAsia="fr-FR"/>
                    </w:rPr>
                    <w:t>»</w:t>
                  </w:r>
                  <w:r w:rsidRPr="00D57EBF">
                    <w:rPr>
                      <w:rFonts w:ascii="Times New Roman" w:eastAsia="Times New Roman" w:hAnsi="Times New Roman" w:cs="Times New Roman"/>
                      <w:sz w:val="24"/>
                      <w:szCs w:val="24"/>
                      <w:lang w:eastAsia="fr-FR"/>
                    </w:rPr>
                    <w:t xml:space="preserve"> qu’elle décrit, entre le refus de poursuivre cette vie d’enfermement imposé et l’impossibilité ou l’incapacité d’y mettre fin collectivement, pour ces jeunes Palestiniens, reste au moins à agir pour ne plus subir. Quitte à en mourir.</w:t>
                  </w:r>
                  <w:r w:rsidRPr="00D57EBF">
                    <w:rPr>
                      <w:rFonts w:ascii="Times New Roman" w:eastAsia="Times New Roman" w:hAnsi="Times New Roman" w:cs="Times New Roman"/>
                      <w:bCs/>
                      <w:sz w:val="27"/>
                      <w:szCs w:val="27"/>
                      <w:lang w:eastAsia="fr-FR"/>
                    </w:rPr>
                    <w:t xml:space="preserve"> (…)</w:t>
                  </w:r>
                </w:p>
                <w:p w:rsidR="00706923" w:rsidRPr="00D57EBF" w:rsidRDefault="00706923" w:rsidP="00706923">
                  <w:pPr>
                    <w:spacing w:after="0" w:line="240" w:lineRule="auto"/>
                    <w:jc w:val="both"/>
                    <w:rPr>
                      <w:rFonts w:ascii="Times New Roman" w:eastAsia="Times New Roman" w:hAnsi="Times New Roman" w:cs="Times New Roman"/>
                      <w:sz w:val="24"/>
                      <w:szCs w:val="24"/>
                      <w:lang w:eastAsia="fr-FR"/>
                    </w:rPr>
                  </w:pPr>
                </w:p>
                <w:p w:rsidR="00706923" w:rsidRPr="00706923" w:rsidRDefault="00706923" w:rsidP="00706923">
                  <w:pPr>
                    <w:spacing w:before="100" w:beforeAutospacing="1" w:after="100" w:afterAutospacing="1" w:line="240" w:lineRule="auto"/>
                    <w:rPr>
                      <w:rFonts w:eastAsia="Times New Roman" w:cstheme="minorHAnsi"/>
                      <w:szCs w:val="24"/>
                      <w:lang w:eastAsia="fr-FR"/>
                    </w:rPr>
                  </w:pPr>
                  <w:r w:rsidRPr="00706923">
                    <w:rPr>
                      <w:rFonts w:eastAsia="Times New Roman" w:cstheme="minorHAnsi"/>
                      <w:szCs w:val="24"/>
                      <w:lang w:eastAsia="fr-FR"/>
                    </w:rPr>
                    <w:t xml:space="preserve">Source : Sylvain CYPEL, article publié sur le site </w:t>
                  </w:r>
                  <w:r w:rsidRPr="00706923">
                    <w:rPr>
                      <w:rFonts w:eastAsia="Times New Roman" w:cstheme="minorHAnsi"/>
                      <w:i/>
                      <w:szCs w:val="24"/>
                      <w:lang w:eastAsia="fr-FR"/>
                    </w:rPr>
                    <w:t>Orient XXI</w:t>
                  </w:r>
                  <w:r w:rsidRPr="00706923">
                    <w:rPr>
                      <w:rFonts w:eastAsia="Times New Roman" w:cstheme="minorHAnsi"/>
                      <w:szCs w:val="24"/>
                      <w:lang w:eastAsia="fr-FR"/>
                    </w:rPr>
                    <w:t xml:space="preserve"> le 24 février 2016 (extraits)</w:t>
                  </w:r>
                </w:p>
                <w:p w:rsidR="00706923" w:rsidRDefault="00706923"/>
              </w:txbxContent>
            </v:textbox>
            <w10:wrap type="square"/>
          </v:shape>
        </w:pict>
      </w:r>
    </w:p>
    <w:p w:rsidR="00F03E3E" w:rsidRPr="00706923" w:rsidRDefault="00C702A6" w:rsidP="00706923">
      <w:pPr>
        <w:jc w:val="right"/>
        <w:rPr>
          <w:b/>
          <w:sz w:val="28"/>
          <w:szCs w:val="28"/>
        </w:rPr>
      </w:pPr>
      <w:bookmarkStart w:id="0" w:name="_GoBack"/>
      <w:bookmarkEnd w:id="0"/>
      <w:r>
        <w:rPr>
          <w:b/>
          <w:sz w:val="28"/>
          <w:szCs w:val="28"/>
        </w:rPr>
        <w:t>Page 2/2</w:t>
      </w:r>
      <w:r w:rsidRPr="005068D4">
        <w:rPr>
          <w:b/>
          <w:sz w:val="28"/>
          <w:szCs w:val="28"/>
        </w:rPr>
        <w:t> </w:t>
      </w:r>
    </w:p>
    <w:sectPr w:rsidR="00F03E3E" w:rsidRPr="00706923" w:rsidSect="00902B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702A6"/>
    <w:rsid w:val="001428D2"/>
    <w:rsid w:val="00427A92"/>
    <w:rsid w:val="004E09F4"/>
    <w:rsid w:val="005C5782"/>
    <w:rsid w:val="00706923"/>
    <w:rsid w:val="00944A79"/>
    <w:rsid w:val="00C702A6"/>
    <w:rsid w:val="00F03E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A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702A6"/>
    <w:rPr>
      <w:i/>
      <w:iCs/>
    </w:rPr>
  </w:style>
  <w:style w:type="table" w:styleId="Grilledutableau">
    <w:name w:val="Table Grid"/>
    <w:basedOn w:val="TableauNormal"/>
    <w:uiPriority w:val="59"/>
    <w:rsid w:val="00C70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702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ientxxi.info/magazine/oslo-retour-sur-un-echec,0343" TargetMode="External"/><Relationship Id="rId5" Type="http://schemas.openxmlformats.org/officeDocument/2006/relationships/hyperlink" Target="https://orientxxi.info/magazine/la-jeunesse-palestinienne-a-couteaux-tires-avec-israel,1055"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749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Installation</dc:creator>
  <cp:lastModifiedBy>berth25e</cp:lastModifiedBy>
  <cp:revision>2</cp:revision>
  <dcterms:created xsi:type="dcterms:W3CDTF">2020-03-23T11:09:00Z</dcterms:created>
  <dcterms:modified xsi:type="dcterms:W3CDTF">2020-03-23T11:09:00Z</dcterms:modified>
</cp:coreProperties>
</file>