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3E" w:rsidRDefault="00F709C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25pt;margin-top:-19.5pt;width:588pt;height:27pt;z-index:251658240" stroked="f">
            <v:textbox>
              <w:txbxContent>
                <w:p w:rsidR="00BB2163" w:rsidRPr="00DF7994" w:rsidRDefault="00BB2163" w:rsidP="00DF7994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F7994">
                    <w:rPr>
                      <w:b/>
                      <w:color w:val="002060"/>
                      <w:sz w:val="28"/>
                      <w:szCs w:val="28"/>
                    </w:rPr>
                    <w:t>Le Brésil, un pays émergent marqué par des inégalités fortes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-32.25pt;margin-top:1.5pt;width:588pt;height:37.5pt;z-index:251659264" stroked="f">
            <v:textbox>
              <w:txbxContent>
                <w:p w:rsidR="00BB2163" w:rsidRPr="00FA2026" w:rsidRDefault="00BB2163" w:rsidP="00DF7994">
                  <w:pPr>
                    <w:jc w:val="center"/>
                    <w:rPr>
                      <w:color w:val="002060"/>
                    </w:rPr>
                  </w:pPr>
                  <w:r w:rsidRPr="00FA2026">
                    <w:rPr>
                      <w:color w:val="002060"/>
                    </w:rPr>
                    <w:t xml:space="preserve">COMMENT LES DYNAMIQUES TERRITORIALES DU BRÉSIL TRADUISENT LA PERSISTANCE DES INÉGALITÉS </w:t>
                  </w:r>
                  <w:r>
                    <w:rPr>
                      <w:color w:val="002060"/>
                    </w:rPr>
                    <w:t>EN DÉPIT DE SON ÉMERGENCE ÉCONOMIQUE ? </w:t>
                  </w:r>
                </w:p>
              </w:txbxContent>
            </v:textbox>
          </v:shape>
        </w:pict>
      </w:r>
    </w:p>
    <w:p w:rsidR="00DF7994" w:rsidRDefault="00DF7994"/>
    <w:p w:rsidR="00DF7994" w:rsidRPr="00FA2026" w:rsidRDefault="00F709C5" w:rsidP="00FA2026">
      <w:pPr>
        <w:jc w:val="both"/>
        <w:rPr>
          <w:b/>
          <w:color w:val="FF0000"/>
          <w:sz w:val="28"/>
          <w:szCs w:val="28"/>
        </w:rPr>
      </w:pPr>
      <w:r w:rsidRPr="00F709C5">
        <w:rPr>
          <w:noProof/>
          <w:color w:val="002060"/>
          <w:lang w:eastAsia="fr-FR"/>
        </w:rPr>
        <w:pict>
          <v:group id="_x0000_s1042" style="position:absolute;left:0;text-align:left;margin-left:-18.25pt;margin-top:32.45pt;width:90.75pt;height:68.8pt;z-index:251673600" coordorigin="355,2554" coordsize="1815,1376">
            <v:group id="_x0000_s1040" style="position:absolute;left:445;top:2865;width:1550;height:1065" coordorigin="445,2685" coordsize="1550,1065">
              <v:group id="_x0000_s1039" style="position:absolute;left:445;top:3090;width:1550;height:660" coordorigin="445,3090" coordsize="1550,660">
                <v:group id="_x0000_s1038" style="position:absolute;left:445;top:3090;width:1550;height:420" coordorigin="445,3090" coordsize="1550,420">
                  <v:shape id="_x0000_s1035" type="#_x0000_t202" style="position:absolute;left:445;top:3106;width:630;height:404" stroked="f">
                    <v:textbox>
                      <w:txbxContent>
                        <w:p w:rsidR="00BB2163" w:rsidRPr="00793A26" w:rsidRDefault="00BB2163" w:rsidP="00793A26">
                          <w:pPr>
                            <w:rPr>
                              <w:color w:val="002060"/>
                              <w:sz w:val="18"/>
                              <w:szCs w:val="18"/>
                            </w:rPr>
                          </w:pPr>
                          <w:r w:rsidRPr="00793A26">
                            <w:rPr>
                              <w:color w:val="002060"/>
                              <w:sz w:val="18"/>
                              <w:szCs w:val="18"/>
                            </w:rPr>
                            <w:t xml:space="preserve">&gt;02 </w:t>
                          </w:r>
                        </w:p>
                      </w:txbxContent>
                    </v:textbox>
                  </v:shape>
                  <v:shape id="_x0000_s1034" type="#_x0000_t202" style="position:absolute;left:1000;top:3090;width:630;height:420" filled="f" stroked="f">
                    <v:textbox>
                      <w:txbxContent>
                        <w:p w:rsidR="00BB2163" w:rsidRPr="00793A26" w:rsidRDefault="00BB2163" w:rsidP="00793A26">
                          <w:pPr>
                            <w:rPr>
                              <w:color w:val="002060"/>
                              <w:sz w:val="18"/>
                              <w:szCs w:val="18"/>
                            </w:rPr>
                          </w:pPr>
                          <w:r w:rsidRPr="00793A26">
                            <w:rPr>
                              <w:color w:val="002060"/>
                              <w:sz w:val="18"/>
                              <w:szCs w:val="18"/>
                            </w:rPr>
                            <w:t>&gt;15</w:t>
                          </w:r>
                        </w:p>
                      </w:txbxContent>
                    </v:textbox>
                  </v:shape>
                  <v:shape id="_x0000_s1033" type="#_x0000_t202" style="position:absolute;left:1365;top:3090;width:630;height:375" filled="f" stroked="f">
                    <v:textbox>
                      <w:txbxContent>
                        <w:p w:rsidR="00BB2163" w:rsidRPr="00793A26" w:rsidRDefault="00BB2163">
                          <w:pPr>
                            <w:rPr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2060"/>
                              <w:sz w:val="18"/>
                              <w:szCs w:val="18"/>
                            </w:rPr>
                            <w:t xml:space="preserve">&gt;50 </w:t>
                          </w:r>
                        </w:p>
                      </w:txbxContent>
                    </v:textbox>
                  </v:shape>
                </v:group>
                <v:shape id="_x0000_s1036" type="#_x0000_t202" style="position:absolute;left:450;top:3375;width:1335;height:375" filled="f" stroked="f">
                  <v:textbox>
                    <w:txbxContent>
                      <w:p w:rsidR="00BB2163" w:rsidRPr="00793A26" w:rsidRDefault="00BB2163" w:rsidP="00793A26">
                        <w:pPr>
                          <w:jc w:val="center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Moyenne 22</w:t>
                        </w:r>
                        <w:r w:rsidRPr="00793A26">
                          <w:rPr>
                            <w:color w:val="00206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  <v:group id="_x0000_s1037" style="position:absolute;left:555;top:2685;width:1335;height:720" coordorigin="555,2685" coordsize="1335,720">
                <v:rect id="_x0000_s1028" style="position:absolute;left:1489;top:2720;width:357;height:445;rotation:90" o:regroupid="1" fillcolor="#ffc000" strokecolor="#ffc000"/>
                <v:rect id="_x0000_s1029" style="position:absolute;left:1044;top:2720;width:357;height:445;rotation:90" o:regroupid="1" fillcolor="yellow" strokecolor="#ffc000"/>
                <v:rect id="_x0000_s1030" style="position:absolute;left:599;top:2720;width:357;height:445;rotation:90" o:regroupid="1" fillcolor="#ff9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1112;top:2685;width:1;height:720;flip:x" o:connectortype="straight" o:regroupid="1" strokecolor="#002060" strokeweight="1.5pt"/>
              </v:group>
            </v:group>
            <v:shape id="_x0000_s1041" type="#_x0000_t202" style="position:absolute;left:355;top:2554;width:1815;height:390" filled="f" stroked="f">
              <v:textbox>
                <w:txbxContent>
                  <w:p w:rsidR="00BB2163" w:rsidRPr="00E62D4D" w:rsidRDefault="00BB2163" w:rsidP="00002669">
                    <w:pPr>
                      <w:jc w:val="center"/>
                      <w:rPr>
                        <w:b/>
                        <w:color w:val="002060"/>
                        <w:sz w:val="18"/>
                        <w:szCs w:val="18"/>
                      </w:rPr>
                    </w:pPr>
                    <w:r w:rsidRPr="00E62D4D">
                      <w:rPr>
                        <w:b/>
                        <w:color w:val="002060"/>
                        <w:sz w:val="18"/>
                        <w:szCs w:val="18"/>
                      </w:rPr>
                      <w:t>Habitants / km²</w:t>
                    </w:r>
                  </w:p>
                </w:txbxContent>
              </v:textbox>
            </v:shape>
          </v:group>
        </w:pict>
      </w:r>
      <w:r w:rsidR="00FA2026" w:rsidRPr="00FA2026">
        <w:rPr>
          <w:b/>
          <w:color w:val="FF0000"/>
          <w:sz w:val="28"/>
          <w:szCs w:val="28"/>
        </w:rPr>
        <w:t>I. </w:t>
      </w:r>
      <w:r w:rsidR="00FA2026">
        <w:rPr>
          <w:b/>
          <w:color w:val="FF0000"/>
          <w:sz w:val="28"/>
          <w:szCs w:val="28"/>
        </w:rPr>
        <w:t>Les conséquences territoriales de l’insertion du Brésil dans l’économie mondiale : littoralisation et métropolisation des hommes et des activités. </w:t>
      </w:r>
    </w:p>
    <w:p w:rsidR="00DF7994" w:rsidRPr="00E22B7F" w:rsidRDefault="00F709C5" w:rsidP="00DF03DE">
      <w:pPr>
        <w:ind w:left="1418"/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group id="_x0000_s1064" style="position:absolute;left:0;text-align:left;margin-left:-27.75pt;margin-top:54.15pt;width:109.5pt;height:89.7pt;z-index:251683328" coordorigin="165,3990" coordsize="2190,1794">
            <v:group id="_x0000_s1047" style="position:absolute;left:330;top:4694;width:1090;height:1090" coordorigin="540,4005" coordsize="1090,1090">
              <v:oval id="_x0000_s1043" style="position:absolute;left:540;top:4005;width:1090;height:1090" strokecolor="#c00000" strokeweight="1.5pt"/>
              <v:oval id="_x0000_s1044" style="position:absolute;left:753;top:4430;width:665;height:665" strokecolor="#c00000" strokeweight="1.5pt"/>
              <v:oval id="_x0000_s1045" style="position:absolute;left:919;top:4762;width:333;height:333" strokecolor="#c00000" strokeweight="1.5pt"/>
            </v:group>
            <v:shape id="_x0000_s1046" type="#_x0000_t202" style="position:absolute;left:165;top:3990;width:2190;height:600" filled="f" stroked="f">
              <v:textbox>
                <w:txbxContent>
                  <w:p w:rsidR="00BB2163" w:rsidRPr="00E62D4D" w:rsidRDefault="00BB2163" w:rsidP="00E62D4D">
                    <w:pPr>
                      <w:jc w:val="center"/>
                      <w:rPr>
                        <w:b/>
                        <w:color w:val="002060"/>
                        <w:sz w:val="18"/>
                        <w:szCs w:val="18"/>
                      </w:rPr>
                    </w:pPr>
                    <w:r w:rsidRPr="00E62D4D">
                      <w:rPr>
                        <w:b/>
                        <w:color w:val="002060"/>
                        <w:sz w:val="18"/>
                        <w:szCs w:val="18"/>
                      </w:rPr>
                      <w:t>Population des villes (millions d’habitants)</w:t>
                    </w:r>
                  </w:p>
                </w:txbxContent>
              </v:textbox>
            </v:shape>
            <v:shape id="_x0000_s1048" type="#_x0000_t32" style="position:absolute;left:825;top:4694;width:805;height:0" o:connectortype="straight" strokecolor="#002060" strokeweight="1.5pt">
              <v:stroke dashstyle="1 1"/>
            </v:shape>
            <v:shape id="_x0000_s1049" type="#_x0000_t32" style="position:absolute;left:865;top:5119;width:805;height:0" o:connectortype="straight" strokecolor="#002060" strokeweight="1.5pt">
              <v:stroke dashstyle="1 1"/>
            </v:shape>
            <v:shape id="_x0000_s1050" type="#_x0000_t32" style="position:absolute;left:875;top:5437;width:795;height:0" o:connectortype="straight" strokecolor="#002060" strokeweight="1.5pt">
              <v:stroke dashstyle="1 1"/>
            </v:shape>
            <v:shape id="_x0000_s1052" type="#_x0000_t202" style="position:absolute;left:1540;top:4504;width:600;height:460" filled="f" stroked="f">
              <v:textbox>
                <w:txbxContent>
                  <w:p w:rsidR="00BB2163" w:rsidRPr="00E62D4D" w:rsidRDefault="00BB2163" w:rsidP="00E62D4D">
                    <w:pPr>
                      <w:rPr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color w:val="002060"/>
                        <w:sz w:val="18"/>
                        <w:szCs w:val="18"/>
                      </w:rPr>
                      <w:t>&gt;20</w:t>
                    </w:r>
                  </w:p>
                </w:txbxContent>
              </v:textbox>
            </v:shape>
            <v:shape id="_x0000_s1053" type="#_x0000_t202" style="position:absolute;left:1570;top:4919;width:600;height:460" filled="f" stroked="f">
              <v:textbox>
                <w:txbxContent>
                  <w:p w:rsidR="00BB2163" w:rsidRPr="00E62D4D" w:rsidRDefault="00BB2163" w:rsidP="00E62D4D">
                    <w:pPr>
                      <w:rPr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color w:val="002060"/>
                        <w:sz w:val="18"/>
                        <w:szCs w:val="18"/>
                      </w:rPr>
                      <w:t>&gt;10</w:t>
                    </w:r>
                  </w:p>
                </w:txbxContent>
              </v:textbox>
            </v:shape>
            <v:shape id="_x0000_s1054" type="#_x0000_t202" style="position:absolute;left:1570;top:5250;width:600;height:460" filled="f" stroked="f">
              <v:textbox>
                <w:txbxContent>
                  <w:p w:rsidR="00BB2163" w:rsidRPr="00E62D4D" w:rsidRDefault="00BB2163" w:rsidP="00E62D4D">
                    <w:pPr>
                      <w:rPr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color w:val="002060"/>
                        <w:sz w:val="18"/>
                        <w:szCs w:val="18"/>
                      </w:rPr>
                      <w:t>&gt;2</w:t>
                    </w:r>
                  </w:p>
                </w:txbxContent>
              </v:textbox>
            </v:shape>
          </v:group>
        </w:pict>
      </w:r>
      <w:r w:rsidR="00E22B7F" w:rsidRPr="00E22B7F">
        <w:rPr>
          <w:b/>
          <w:color w:val="002060"/>
        </w:rPr>
        <w:t>Les densités humaines :</w:t>
      </w:r>
      <w:r w:rsidR="00E22B7F" w:rsidRPr="00E22B7F">
        <w:rPr>
          <w:color w:val="002060"/>
        </w:rPr>
        <w:t xml:space="preserve"> une forte concentration des hommes sur les régions littorales. </w:t>
      </w:r>
      <w:r w:rsidR="00DF03DE">
        <w:rPr>
          <w:color w:val="002060"/>
        </w:rPr>
        <w:t>Témoignage de l’origine coloniale du peuplement du Brésil, la littoralisation des hommes est également une conséquence de sa forte insertion dans la mondialisation. En 2016, 60% des 200 millions de Brésiliens vivaient le long des littoraux</w:t>
      </w:r>
      <w:r w:rsidR="00B968B4">
        <w:rPr>
          <w:color w:val="002060"/>
        </w:rPr>
        <w:t xml:space="preserve"> (Contre 50% dans le monde)</w:t>
      </w:r>
      <w:r w:rsidR="00DF03DE">
        <w:rPr>
          <w:color w:val="002060"/>
        </w:rPr>
        <w:t>. </w:t>
      </w:r>
    </w:p>
    <w:p w:rsidR="00B968B4" w:rsidRDefault="00F02D50" w:rsidP="00B968B4">
      <w:pPr>
        <w:ind w:left="1418"/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3" type="#_x0000_t5" style="position:absolute;left:0;text-align:left;margin-left:452.25pt;margin-top:57.6pt;width:19.5pt;height:16.85pt;z-index:251740160" fillcolor="#7030a0" strokecolor="#7030a0"/>
        </w:pict>
      </w:r>
      <w:r>
        <w:rPr>
          <w:noProof/>
          <w:color w:val="002060"/>
          <w:lang w:eastAsia="fr-F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34" type="#_x0000_t56" style="position:absolute;left:0;text-align:left;margin-left:395.25pt;margin-top:57.5pt;width:24pt;height:22.8pt;z-index:251741184" fillcolor="#7030a0" strokecolor="#7030a0"/>
        </w:pict>
      </w:r>
      <w:r>
        <w:rPr>
          <w:noProof/>
          <w:color w:val="002060"/>
          <w:lang w:eastAsia="fr-FR"/>
        </w:rPr>
        <w:pict>
          <v:rect id="_x0000_s1132" style="position:absolute;left:0;text-align:left;margin-left:330pt;margin-top:58.4pt;width:18pt;height:18pt;z-index:251739136" fillcolor="#7030a0" strokecolor="#7030a0"/>
        </w:pict>
      </w:r>
      <w:r>
        <w:rPr>
          <w:noProof/>
          <w:color w:val="002060"/>
          <w:lang w:eastAsia="fr-FR"/>
        </w:rPr>
        <w:pict>
          <v:shape id="_x0000_s1060" type="#_x0000_t202" style="position:absolute;left:0;text-align:left;margin-left:-30pt;margin-top:92.9pt;width:109.5pt;height:18pt;z-index:251711488" o:regroupid="8" filled="f" stroked="f">
            <v:textbox>
              <w:txbxContent>
                <w:p w:rsidR="00BB2163" w:rsidRPr="00E62D4D" w:rsidRDefault="00BB2163" w:rsidP="00DF03DE">
                  <w:pPr>
                    <w:jc w:val="center"/>
                    <w:rPr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b/>
                      <w:color w:val="002060"/>
                      <w:sz w:val="18"/>
                      <w:szCs w:val="18"/>
                    </w:rPr>
                    <w:t>Foyers de peuplement</w:t>
                  </w:r>
                </w:p>
              </w:txbxContent>
            </v:textbox>
          </v:shape>
        </w:pict>
      </w:r>
      <w:r w:rsidR="00DF03DE" w:rsidRPr="00DF03DE">
        <w:rPr>
          <w:b/>
          <w:color w:val="002060"/>
        </w:rPr>
        <w:t xml:space="preserve">La métropolisation </w:t>
      </w:r>
      <w:r w:rsidR="00DF03DE" w:rsidRPr="00DF03DE">
        <w:rPr>
          <w:color w:val="002060"/>
        </w:rPr>
        <w:t>des hommes et des activités :</w:t>
      </w:r>
      <w:r w:rsidR="00DF03DE">
        <w:rPr>
          <w:color w:val="002060"/>
        </w:rPr>
        <w:t xml:space="preserve"> la forte insertion du Brésil dans la mondialisation entraîne également une forte métropolisation. Si 30% seulement des Brésiliens vivaient en ville en 1940, c’est plus de 85% en 2016</w:t>
      </w:r>
      <w:r w:rsidR="00B968B4">
        <w:rPr>
          <w:color w:val="002060"/>
        </w:rPr>
        <w:t xml:space="preserve"> (Contre 50% dans le monde)</w:t>
      </w:r>
      <w:r w:rsidR="00DF03DE">
        <w:rPr>
          <w:color w:val="002060"/>
        </w:rPr>
        <w:t>, près de 170 millions d’urbains concentrés dans des métropoles situées sur la façade atlantique</w:t>
      </w:r>
      <w:r w:rsidR="00E179E3">
        <w:rPr>
          <w:color w:val="002060"/>
        </w:rPr>
        <w:t xml:space="preserve"> : les plus dynamiques sont situées dans le </w:t>
      </w:r>
      <w:proofErr w:type="spellStart"/>
      <w:r w:rsidR="00E179E3" w:rsidRPr="00E179E3">
        <w:rPr>
          <w:i/>
          <w:color w:val="002060"/>
        </w:rPr>
        <w:t>Sudeste</w:t>
      </w:r>
      <w:proofErr w:type="spellEnd"/>
      <w:r>
        <w:rPr>
          <w:color w:val="002060"/>
        </w:rPr>
        <w:t xml:space="preserve"> où se trouvent les principaux aéroports </w:t>
      </w:r>
      <w:r>
        <w:rPr>
          <w:color w:val="002060"/>
        </w:rPr>
        <w:tab/>
        <w:t xml:space="preserve">bourses </w:t>
      </w:r>
      <w:r>
        <w:rPr>
          <w:color w:val="002060"/>
        </w:rPr>
        <w:tab/>
        <w:t>et centres industriels</w:t>
      </w:r>
      <w:r w:rsidR="00DF03DE">
        <w:rPr>
          <w:color w:val="002060"/>
        </w:rPr>
        <w:t>. </w:t>
      </w:r>
    </w:p>
    <w:p w:rsidR="00DF03DE" w:rsidRDefault="00F02D50" w:rsidP="00E314B3">
      <w:pPr>
        <w:ind w:left="1418"/>
        <w:jc w:val="both"/>
        <w:rPr>
          <w:color w:val="002060"/>
        </w:rPr>
      </w:pPr>
      <w:r w:rsidRPr="00F709C5">
        <w:rPr>
          <w:b/>
          <w:noProof/>
          <w:color w:val="002060"/>
          <w:lang w:eastAsia="fr-FR"/>
        </w:rPr>
        <w:pict>
          <v:oval id="_x0000_s1080" style="position:absolute;left:0;text-align:left;margin-left:-4.75pt;margin-top:18.2pt;width:58pt;height:23.25pt;z-index:251712512" strokecolor="#7f7f7f [1612]" strokeweight="4.5pt">
            <v:stroke dashstyle="1 1"/>
          </v:oval>
        </w:pict>
      </w:r>
      <w:r w:rsidR="00F709C5">
        <w:rPr>
          <w:noProof/>
          <w:color w:val="002060"/>
          <w:lang w:eastAsia="fr-FR"/>
        </w:rPr>
        <w:pict>
          <v:rect id="_x0000_s1130" style="position:absolute;left:0;text-align:left;margin-left:364.5pt;margin-top:29.95pt;width:49.5pt;height:21pt;z-index:251738112" fillcolor="#7030a0" strokecolor="#7030a0">
            <v:fill r:id="rId4" o:title="Diagonales larges vers le haut" color2="#ccecff" type="pattern"/>
          </v:rect>
        </w:pict>
      </w:r>
      <w:r w:rsidR="00BF1970">
        <w:rPr>
          <w:b/>
          <w:color w:val="002060"/>
        </w:rPr>
        <w:t>Les foyers historiques du peuplement européen et africain du Brésil : </w:t>
      </w:r>
      <w:r w:rsidR="00BF1970" w:rsidRPr="00BF1970">
        <w:rPr>
          <w:color w:val="002060"/>
        </w:rPr>
        <w:t xml:space="preserve">localisés sur les côtes, dans le </w:t>
      </w:r>
      <w:r w:rsidR="00BF1970" w:rsidRPr="00BF1970">
        <w:rPr>
          <w:i/>
          <w:color w:val="002060"/>
        </w:rPr>
        <w:t>Nordeste</w:t>
      </w:r>
      <w:r w:rsidR="00BF1970" w:rsidRPr="00BF1970">
        <w:rPr>
          <w:color w:val="002060"/>
        </w:rPr>
        <w:t xml:space="preserve"> et le </w:t>
      </w:r>
      <w:proofErr w:type="spellStart"/>
      <w:r w:rsidR="00BF1970" w:rsidRPr="00BF1970">
        <w:rPr>
          <w:i/>
          <w:color w:val="002060"/>
        </w:rPr>
        <w:t>Sudeste</w:t>
      </w:r>
      <w:proofErr w:type="spellEnd"/>
      <w:r w:rsidR="00BD4FF1" w:rsidRPr="00BF1970">
        <w:rPr>
          <w:color w:val="002060"/>
        </w:rPr>
        <w:t xml:space="preserve">, </w:t>
      </w:r>
      <w:r w:rsidR="00BF1970" w:rsidRPr="00BF1970">
        <w:rPr>
          <w:color w:val="002060"/>
        </w:rPr>
        <w:t xml:space="preserve">ils rappellent l’origine coloniale du peuplement du Brésil et restent des pôles urbains et </w:t>
      </w:r>
      <w:r w:rsidR="003D0548">
        <w:rPr>
          <w:color w:val="002060"/>
        </w:rPr>
        <w:t xml:space="preserve">/ ou </w:t>
      </w:r>
      <w:r w:rsidR="00BF1970" w:rsidRPr="00BF1970">
        <w:rPr>
          <w:color w:val="002060"/>
        </w:rPr>
        <w:t xml:space="preserve">économiques </w:t>
      </w:r>
      <w:r w:rsidR="00B50D64">
        <w:rPr>
          <w:color w:val="002060"/>
        </w:rPr>
        <w:t>majeurs</w:t>
      </w:r>
      <w:r w:rsidR="00451E8F">
        <w:rPr>
          <w:color w:val="002060"/>
        </w:rPr>
        <w:t> : l’exploitation pétrolière</w:t>
      </w:r>
      <w:r w:rsidR="00451E8F">
        <w:rPr>
          <w:color w:val="002060"/>
        </w:rPr>
        <w:tab/>
      </w:r>
      <w:r w:rsidR="00451E8F">
        <w:rPr>
          <w:color w:val="002060"/>
        </w:rPr>
        <w:tab/>
      </w:r>
      <w:r w:rsidR="00451E8F">
        <w:rPr>
          <w:color w:val="002060"/>
        </w:rPr>
        <w:tab/>
        <w:t>s’y concentre</w:t>
      </w:r>
      <w:r w:rsidR="00BF1970" w:rsidRPr="00BF1970">
        <w:rPr>
          <w:color w:val="002060"/>
        </w:rPr>
        <w:t>. </w:t>
      </w:r>
    </w:p>
    <w:p w:rsidR="00DF7994" w:rsidRPr="00FA2026" w:rsidRDefault="00F02D50" w:rsidP="00FA2026">
      <w:pPr>
        <w:jc w:val="both"/>
        <w:rPr>
          <w:b/>
          <w:color w:val="FF0000"/>
          <w:sz w:val="28"/>
          <w:szCs w:val="28"/>
        </w:rPr>
      </w:pPr>
      <w:r>
        <w:rPr>
          <w:noProof/>
          <w:color w:val="002060"/>
          <w:lang w:eastAsia="fr-FR"/>
        </w:rPr>
        <w:pict>
          <v:group id="_x0000_s1079" style="position:absolute;left:0;text-align:left;margin-left:-24.75pt;margin-top:60.45pt;width:101.75pt;height:68.8pt;z-index:251708416" coordorigin="285,7639" coordsize="2035,1376">
            <v:shape id="_x0000_s1078" type="#_x0000_t202" style="position:absolute;left:345;top:7639;width:1815;height:390" o:regroupid="3" filled="f" stroked="f">
              <v:textbox>
                <w:txbxContent>
                  <w:p w:rsidR="00BB2163" w:rsidRPr="00E62D4D" w:rsidRDefault="00BB2163" w:rsidP="00E179E3">
                    <w:pPr>
                      <w:jc w:val="center"/>
                      <w:rPr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2060"/>
                        <w:sz w:val="18"/>
                        <w:szCs w:val="18"/>
                      </w:rPr>
                      <w:t>IDH régional</w:t>
                    </w:r>
                  </w:p>
                </w:txbxContent>
              </v:textbox>
            </v:shape>
            <v:shape id="_x0000_s1072" type="#_x0000_t202" style="position:absolute;left:440;top:8640;width:1555;height:375" o:regroupid="5" filled="f" stroked="f">
              <v:textbox>
                <w:txbxContent>
                  <w:p w:rsidR="00BB2163" w:rsidRPr="00793A26" w:rsidRDefault="00BB2163" w:rsidP="00E179E3">
                    <w:pPr>
                      <w:jc w:val="center"/>
                      <w:rPr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color w:val="002060"/>
                        <w:sz w:val="18"/>
                        <w:szCs w:val="18"/>
                      </w:rPr>
                      <w:t>Moyenne 0,730</w:t>
                    </w:r>
                    <w:r w:rsidRPr="00793A26">
                      <w:rPr>
                        <w:color w:val="00206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 id="_x0000_s1069" type="#_x0000_t202" style="position:absolute;left:285;top:8371;width:900;height:404" o:regroupid="6" stroked="f">
              <v:textbox>
                <w:txbxContent>
                  <w:p w:rsidR="00BB2163" w:rsidRPr="00793A26" w:rsidRDefault="008758BA" w:rsidP="00E179E3">
                    <w:pPr>
                      <w:rPr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color w:val="002060"/>
                        <w:sz w:val="18"/>
                        <w:szCs w:val="18"/>
                      </w:rPr>
                      <w:t>&lt;0,73</w:t>
                    </w:r>
                    <w:r w:rsidR="00BB2163">
                      <w:rPr>
                        <w:color w:val="002060"/>
                        <w:sz w:val="18"/>
                        <w:szCs w:val="18"/>
                      </w:rPr>
                      <w:t>0</w:t>
                    </w:r>
                    <w:r w:rsidR="00BB2163" w:rsidRPr="00793A26">
                      <w:rPr>
                        <w:color w:val="00206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 id="_x0000_s1070" type="#_x0000_t202" style="position:absolute;left:885;top:8355;width:795;height:420" o:regroupid="6" filled="f" stroked="f">
              <v:textbox>
                <w:txbxContent>
                  <w:p w:rsidR="00BB2163" w:rsidRPr="00793A26" w:rsidRDefault="00BB2163" w:rsidP="00E179E3">
                    <w:pPr>
                      <w:rPr>
                        <w:color w:val="002060"/>
                        <w:sz w:val="18"/>
                        <w:szCs w:val="18"/>
                      </w:rPr>
                    </w:pPr>
                    <w:r w:rsidRPr="00793A26">
                      <w:rPr>
                        <w:color w:val="002060"/>
                        <w:sz w:val="18"/>
                        <w:szCs w:val="18"/>
                      </w:rPr>
                      <w:t>&gt;</w:t>
                    </w:r>
                    <w:r>
                      <w:rPr>
                        <w:color w:val="002060"/>
                        <w:sz w:val="18"/>
                        <w:szCs w:val="18"/>
                      </w:rPr>
                      <w:t>0,730</w:t>
                    </w:r>
                  </w:p>
                </w:txbxContent>
              </v:textbox>
            </v:shape>
            <v:shape id="_x0000_s1071" type="#_x0000_t202" style="position:absolute;left:1505;top:8355;width:815;height:375" o:regroupid="6" filled="f" stroked="f">
              <v:textbox>
                <w:txbxContent>
                  <w:p w:rsidR="00BB2163" w:rsidRPr="00793A26" w:rsidRDefault="00BB2163" w:rsidP="00E179E3">
                    <w:pPr>
                      <w:rPr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color w:val="002060"/>
                        <w:sz w:val="18"/>
                        <w:szCs w:val="18"/>
                      </w:rPr>
                      <w:t xml:space="preserve">&gt;0,750 </w:t>
                    </w:r>
                  </w:p>
                </w:txbxContent>
              </v:textbox>
            </v:shape>
            <v:rect id="_x0000_s1074" style="position:absolute;left:1479;top:7985;width:357;height:445;rotation:90" o:regroupid="7" fillcolor="#823b0b [1605]" strokecolor="#823b0b [1605]">
              <v:fill r:id="rId5" o:title="Grands carreaux" type="pattern"/>
            </v:rect>
            <v:rect id="_x0000_s1075" style="position:absolute;left:1034;top:7985;width:357;height:445;rotation:90" o:regroupid="7" fillcolor="#823b0b [1605]" strokecolor="#823b0b [1605]">
              <v:fill r:id="rId6" o:title="noir)" type="pattern"/>
            </v:rect>
            <v:rect id="_x0000_s1076" style="position:absolute;left:589;top:7985;width:357;height:445;rotation:90" o:regroupid="7" strokecolor="#bfbfbf [2412]"/>
            <v:shape id="_x0000_s1077" type="#_x0000_t32" style="position:absolute;left:982;top:7950;width:1;height:720;flip:x" o:connectortype="straight" o:regroupid="7" strokecolor="#823b0b [1605]" strokeweight="1.5pt"/>
          </v:group>
        </w:pict>
      </w:r>
      <w:r w:rsidR="00673CA6">
        <w:rPr>
          <w:b/>
          <w:color w:val="FF0000"/>
          <w:sz w:val="28"/>
          <w:szCs w:val="28"/>
        </w:rPr>
        <w:t>II. Le Brésil, u</w:t>
      </w:r>
      <w:r w:rsidR="00FA2026" w:rsidRPr="00FA2026">
        <w:rPr>
          <w:b/>
          <w:color w:val="FF0000"/>
          <w:sz w:val="28"/>
          <w:szCs w:val="28"/>
        </w:rPr>
        <w:t>n pays inégalitaire aux fractures socio-spatiales fortes : </w:t>
      </w:r>
      <w:r w:rsidR="00FA2026">
        <w:rPr>
          <w:b/>
          <w:color w:val="FF0000"/>
          <w:sz w:val="28"/>
          <w:szCs w:val="28"/>
        </w:rPr>
        <w:t xml:space="preserve">la croissance et le développement </w:t>
      </w:r>
      <w:r w:rsidR="00673CA6">
        <w:rPr>
          <w:b/>
          <w:color w:val="FF0000"/>
          <w:sz w:val="28"/>
          <w:szCs w:val="28"/>
        </w:rPr>
        <w:t xml:space="preserve">sont </w:t>
      </w:r>
      <w:r w:rsidR="00FA2026">
        <w:rPr>
          <w:b/>
          <w:color w:val="FF0000"/>
          <w:sz w:val="28"/>
          <w:szCs w:val="28"/>
        </w:rPr>
        <w:t xml:space="preserve">inégalement répartis et </w:t>
      </w:r>
      <w:r w:rsidR="00873ECD">
        <w:rPr>
          <w:b/>
          <w:color w:val="FF0000"/>
          <w:sz w:val="28"/>
          <w:szCs w:val="28"/>
        </w:rPr>
        <w:t xml:space="preserve">restent </w:t>
      </w:r>
      <w:r w:rsidR="00FA2026">
        <w:rPr>
          <w:b/>
          <w:color w:val="FF0000"/>
          <w:sz w:val="28"/>
          <w:szCs w:val="28"/>
        </w:rPr>
        <w:t>concentrés dans les métropoles du Sud. </w:t>
      </w:r>
    </w:p>
    <w:p w:rsidR="00DF7994" w:rsidRPr="00E22B7F" w:rsidRDefault="00F709C5" w:rsidP="00E179E3">
      <w:pPr>
        <w:tabs>
          <w:tab w:val="left" w:pos="1418"/>
        </w:tabs>
        <w:ind w:left="1418"/>
        <w:jc w:val="both"/>
        <w:rPr>
          <w:color w:val="002060"/>
        </w:rPr>
      </w:pPr>
      <w:r w:rsidRPr="00F709C5">
        <w:rPr>
          <w:b/>
          <w:noProof/>
          <w:color w:val="002060"/>
          <w:lang w:eastAsia="fr-FR"/>
        </w:rPr>
        <w:pict>
          <v:shape id="_x0000_s1083" type="#_x0000_t202" style="position:absolute;left:0;text-align:left;margin-left:11.2pt;margin-top:72.95pt;width:24.3pt;height:30.9pt;z-index:251715584" filled="f" stroked="f">
            <v:textbox>
              <w:txbxContent>
                <w:p w:rsidR="00BB2163" w:rsidRPr="000C4289" w:rsidRDefault="00BB2163">
                  <w:pPr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C4289">
                    <w:rPr>
                      <w:b/>
                      <w:color w:val="FFFFFF" w:themeColor="background1"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 w:rsidRPr="00F709C5">
        <w:rPr>
          <w:b/>
          <w:noProof/>
          <w:color w:val="002060"/>
          <w:lang w:eastAsia="fr-FR"/>
        </w:rPr>
        <w:pict>
          <v:oval id="_x0000_s1082" style="position:absolute;left:0;text-align:left;margin-left:10.5pt;margin-top:76.65pt;width:24.95pt;height:24.95pt;z-index:251714560" fillcolor="#823b0b [1605]" strokecolor="#823b0b [1605]"/>
        </w:pict>
      </w:r>
      <w:r w:rsidR="00E179E3">
        <w:rPr>
          <w:color w:val="002060"/>
        </w:rPr>
        <w:t xml:space="preserve">Le développement humain est très inégalement réparti : si le Produit Intérieur Brut par habitant (PIB/hab./an) est passé de 1 102€ en 1980 à 7 578€ en 2016 traduisant une forte croissance économique, </w:t>
      </w:r>
      <w:r w:rsidR="00E179E3" w:rsidRPr="00E179E3">
        <w:rPr>
          <w:b/>
          <w:color w:val="002060"/>
        </w:rPr>
        <w:t>l’Indice de Développement Humain (IDH)</w:t>
      </w:r>
      <w:r w:rsidR="00E179E3">
        <w:rPr>
          <w:color w:val="002060"/>
        </w:rPr>
        <w:t xml:space="preserve"> qui mesure les conditions de vie des habitants connaît encore de fortes disparités </w:t>
      </w:r>
      <w:r w:rsidR="0014401E">
        <w:rPr>
          <w:color w:val="002060"/>
        </w:rPr>
        <w:t>même si la moyenne nationale de 0,730</w:t>
      </w:r>
      <w:r w:rsidR="00E179E3">
        <w:rPr>
          <w:color w:val="002060"/>
        </w:rPr>
        <w:t xml:space="preserve"> classe le Brésil dans la catégorie des pays à développement moyen</w:t>
      </w:r>
      <w:r w:rsidR="00FF5615">
        <w:rPr>
          <w:color w:val="002060"/>
        </w:rPr>
        <w:t xml:space="preserve"> (Moyenne mondiale = 0,728)</w:t>
      </w:r>
      <w:r w:rsidR="00E179E3">
        <w:rPr>
          <w:color w:val="002060"/>
        </w:rPr>
        <w:t>. </w:t>
      </w:r>
    </w:p>
    <w:p w:rsidR="00B62581" w:rsidRDefault="00F709C5" w:rsidP="000C4289">
      <w:pPr>
        <w:tabs>
          <w:tab w:val="left" w:pos="1418"/>
        </w:tabs>
        <w:ind w:left="1418"/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 id="_x0000_s1085" type="#_x0000_t202" style="position:absolute;left:0;text-align:left;margin-left:-29.25pt;margin-top:17.35pt;width:106.5pt;height:33.35pt;z-index:251717632" filled="f" stroked="f">
            <v:textbox>
              <w:txbxContent>
                <w:p w:rsidR="00BB2163" w:rsidRPr="00B968B4" w:rsidRDefault="00BB2163" w:rsidP="00B968B4">
                  <w:pPr>
                    <w:jc w:val="center"/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>Villes dangereuses (avec le rang mondial)</w:t>
                  </w:r>
                </w:p>
              </w:txbxContent>
            </v:textbox>
          </v:shape>
        </w:pict>
      </w:r>
      <w:r w:rsidR="00E179E3" w:rsidRPr="0014401E">
        <w:rPr>
          <w:b/>
          <w:color w:val="002060"/>
        </w:rPr>
        <w:t>Les villes concentrent les inégalités</w:t>
      </w:r>
      <w:r w:rsidR="000C4289">
        <w:rPr>
          <w:b/>
          <w:color w:val="002060"/>
        </w:rPr>
        <w:t xml:space="preserve"> et la violence, stigmate de </w:t>
      </w:r>
      <w:r w:rsidR="00B62581">
        <w:rPr>
          <w:b/>
          <w:color w:val="002060"/>
        </w:rPr>
        <w:t>l</w:t>
      </w:r>
      <w:r w:rsidR="000C4289">
        <w:rPr>
          <w:b/>
          <w:color w:val="002060"/>
        </w:rPr>
        <w:t>a pauvreté</w:t>
      </w:r>
      <w:r w:rsidR="00E179E3">
        <w:rPr>
          <w:color w:val="002060"/>
        </w:rPr>
        <w:t>. </w:t>
      </w:r>
      <w:r w:rsidR="000C4289">
        <w:rPr>
          <w:color w:val="002060"/>
        </w:rPr>
        <w:t>Parmi les 50 villes dans le monde, identifiées comme les plus violentes avec plus de 1 000 assassinats / an, le Brésil en compte 1</w:t>
      </w:r>
      <w:r w:rsidR="00B50D64">
        <w:rPr>
          <w:color w:val="002060"/>
        </w:rPr>
        <w:t>7, loin devant le Mexique (12)</w:t>
      </w:r>
      <w:r w:rsidR="008D537B">
        <w:rPr>
          <w:color w:val="002060"/>
        </w:rPr>
        <w:t>.</w:t>
      </w:r>
    </w:p>
    <w:p w:rsidR="00FA2026" w:rsidRPr="00E22B7F" w:rsidRDefault="00F709C5" w:rsidP="000C4289">
      <w:pPr>
        <w:tabs>
          <w:tab w:val="left" w:pos="1418"/>
        </w:tabs>
        <w:ind w:left="1418"/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 id="_x0000_s1088" type="#_x0000_t202" style="position:absolute;left:0;text-align:left;margin-left:8.75pt;margin-top:2.25pt;width:33.55pt;height:30.9pt;z-index:251720704" filled="f" stroked="f">
            <v:textbox>
              <w:txbxContent>
                <w:p w:rsidR="00BB2163" w:rsidRPr="00B968B4" w:rsidRDefault="00BB2163" w:rsidP="00B968B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968B4">
                    <w:rPr>
                      <w:b/>
                      <w:color w:val="FFFFFF" w:themeColor="background1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>
          <v:shape id="_x0000_s1087" type="#_x0000_t202" style="position:absolute;left:0;text-align:left;margin-left:-19.5pt;margin-top:22.55pt;width:88.5pt;height:34.95pt;z-index:251719680" filled="f" stroked="f">
            <v:textbox>
              <w:txbxContent>
                <w:p w:rsidR="00BB2163" w:rsidRPr="00B968B4" w:rsidRDefault="00BB2163" w:rsidP="00B968B4">
                  <w:pPr>
                    <w:jc w:val="center"/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>Bidonville (Avec le rang mondial)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>
          <v:rect id="_x0000_s1086" style="position:absolute;left:0;text-align:left;margin-left:14.65pt;margin-top:6.7pt;width:18.1pt;height:18.1pt;z-index:251718656" fillcolor="#7f5f00 [1607]" strokecolor="#823b0b [1605]" strokeweight="1.5pt"/>
        </w:pict>
      </w:r>
      <w:r w:rsidR="008D537B">
        <w:rPr>
          <w:color w:val="002060"/>
        </w:rPr>
        <w:t> </w:t>
      </w:r>
      <w:r w:rsidR="000C4289">
        <w:rPr>
          <w:color w:val="002060"/>
        </w:rPr>
        <w:t xml:space="preserve">Le Brésil </w:t>
      </w:r>
      <w:r w:rsidR="0065380E">
        <w:rPr>
          <w:color w:val="002060"/>
        </w:rPr>
        <w:t xml:space="preserve">(qui </w:t>
      </w:r>
      <w:r w:rsidR="000C4289">
        <w:rPr>
          <w:color w:val="002060"/>
        </w:rPr>
        <w:t xml:space="preserve">compte également </w:t>
      </w:r>
      <w:r w:rsidR="000C4289" w:rsidRPr="001F7C28">
        <w:rPr>
          <w:color w:val="002060"/>
        </w:rPr>
        <w:t>une des dix villes les plus inégalitaires</w:t>
      </w:r>
      <w:r w:rsidR="0065380E">
        <w:rPr>
          <w:color w:val="002060"/>
        </w:rPr>
        <w:t xml:space="preserve"> selon le coefficient de Gini, </w:t>
      </w:r>
      <w:r w:rsidR="00D35742">
        <w:rPr>
          <w:color w:val="002060"/>
        </w:rPr>
        <w:t xml:space="preserve">la ville de </w:t>
      </w:r>
      <w:r w:rsidR="00617BD7">
        <w:rPr>
          <w:color w:val="002060"/>
        </w:rPr>
        <w:t>Goiânia</w:t>
      </w:r>
      <w:r w:rsidR="000C4289">
        <w:rPr>
          <w:color w:val="002060"/>
        </w:rPr>
        <w:t xml:space="preserve">) </w:t>
      </w:r>
      <w:r w:rsidR="0065380E">
        <w:rPr>
          <w:color w:val="002060"/>
        </w:rPr>
        <w:t>abrite</w:t>
      </w:r>
      <w:r w:rsidR="000C4289">
        <w:rPr>
          <w:color w:val="002060"/>
        </w:rPr>
        <w:t xml:space="preserve"> l’</w:t>
      </w:r>
      <w:r w:rsidR="000C4289" w:rsidRPr="001F7C28">
        <w:rPr>
          <w:b/>
          <w:color w:val="002060"/>
        </w:rPr>
        <w:t>un des 10 plus grands bidonvilles du monde</w:t>
      </w:r>
      <w:r w:rsidR="000C4289">
        <w:rPr>
          <w:color w:val="002060"/>
        </w:rPr>
        <w:t xml:space="preserve"> (</w:t>
      </w:r>
      <w:proofErr w:type="spellStart"/>
      <w:r w:rsidR="000C4289">
        <w:rPr>
          <w:color w:val="002060"/>
        </w:rPr>
        <w:t>Rochina</w:t>
      </w:r>
      <w:proofErr w:type="spellEnd"/>
      <w:r w:rsidR="00B968B4">
        <w:rPr>
          <w:color w:val="002060"/>
        </w:rPr>
        <w:t>,</w:t>
      </w:r>
      <w:r w:rsidR="000C4289">
        <w:rPr>
          <w:color w:val="002060"/>
        </w:rPr>
        <w:t xml:space="preserve"> à Rio de </w:t>
      </w:r>
      <w:r w:rsidR="00B968B4">
        <w:rPr>
          <w:color w:val="002060"/>
        </w:rPr>
        <w:t>Janeiro</w:t>
      </w:r>
      <w:r w:rsidR="000C4289">
        <w:rPr>
          <w:color w:val="002060"/>
        </w:rPr>
        <w:t>). </w:t>
      </w:r>
      <w:r w:rsidR="0065380E">
        <w:rPr>
          <w:color w:val="002060"/>
        </w:rPr>
        <w:t xml:space="preserve">L’extrême pauvreté des </w:t>
      </w:r>
      <w:r w:rsidR="0065380E" w:rsidRPr="00D956FD">
        <w:rPr>
          <w:i/>
          <w:color w:val="002060"/>
        </w:rPr>
        <w:t>favelas</w:t>
      </w:r>
      <w:r w:rsidR="0065380E">
        <w:rPr>
          <w:color w:val="002060"/>
        </w:rPr>
        <w:t xml:space="preserve"> côtoie alors l’extrême richesse des métropoles du </w:t>
      </w:r>
      <w:proofErr w:type="spellStart"/>
      <w:r w:rsidR="0065380E" w:rsidRPr="0065380E">
        <w:rPr>
          <w:i/>
          <w:color w:val="002060"/>
        </w:rPr>
        <w:t>Sudeste</w:t>
      </w:r>
      <w:proofErr w:type="spellEnd"/>
      <w:r w:rsidR="0065380E">
        <w:rPr>
          <w:color w:val="002060"/>
        </w:rPr>
        <w:t xml:space="preserve">.  </w:t>
      </w:r>
      <w:r w:rsidR="000C4289">
        <w:rPr>
          <w:color w:val="002060"/>
        </w:rPr>
        <w:t xml:space="preserve"> </w:t>
      </w:r>
    </w:p>
    <w:p w:rsidR="00DF7994" w:rsidRPr="00FA2026" w:rsidRDefault="00FA2026" w:rsidP="00FA202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III. Des dynamiques de rééquilibrage coûteuse en terme environnemental et culturel : le sacrifice de la nature et des cultures amérindiennes</w:t>
      </w:r>
      <w:r w:rsidR="00673CA6">
        <w:rPr>
          <w:b/>
          <w:color w:val="FF0000"/>
          <w:sz w:val="28"/>
          <w:szCs w:val="28"/>
        </w:rPr>
        <w:t xml:space="preserve"> au Brésil</w:t>
      </w:r>
      <w:r>
        <w:rPr>
          <w:b/>
          <w:color w:val="FF0000"/>
          <w:sz w:val="28"/>
          <w:szCs w:val="28"/>
        </w:rPr>
        <w:t>. </w:t>
      </w:r>
    </w:p>
    <w:p w:rsidR="00DF7994" w:rsidRPr="00E22B7F" w:rsidRDefault="00F709C5" w:rsidP="00E068F5">
      <w:pPr>
        <w:ind w:left="1418"/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group id="_x0000_s1123" style="position:absolute;left:0;text-align:left;margin-left:0;margin-top:-.35pt;width:32.8pt;height:35.15pt;z-index:251735040" coordorigin="7116,7191" coordsize="921,987">
            <v:rect id="_x0000_s1124" style="position:absolute;left:7206;top:7281;width:781;height:781" fillcolor="#00b050" stroked="f" strokecolor="#525252 [1606]"/>
            <v:rect id="_x0000_s1125" style="position:absolute;left:7400;top:7475;width:393;height:393" fillcolor="white [3212]" stroked="f" strokecolor="#525252 [1606]"/>
            <v:shape id="_x0000_s1126" type="#_x0000_t32" style="position:absolute;left:7116;top:7664;width:921;height:0" o:connectortype="straight" filled="t" fillcolor="#ff9" strokecolor="white [3212]" strokeweight="3pt"/>
            <v:shape id="_x0000_s1127" type="#_x0000_t32" style="position:absolute;left:7596;top:7191;width:0;height:987" o:connectortype="straight" filled="t" fillcolor="#ff9" strokecolor="white [3212]" strokeweight="3pt"/>
          </v:group>
        </w:pict>
      </w:r>
      <w:r>
        <w:rPr>
          <w:noProof/>
          <w:color w:val="002060"/>
          <w:lang w:eastAsia="fr-FR"/>
        </w:rPr>
        <w:pict>
          <v:group id="_x0000_s1119" style="position:absolute;left:0;text-align:left;margin-left:-4.05pt;margin-top:45.5pt;width:43.3pt;height:51.25pt;rotation:3117014fd;z-index:251734016" coordorigin="4501,3819" coordsize="4499,4279">
            <v:shape id="_x0000_s1120" style="position:absolute;left:4613;top:3928;width:4355;height:4109" coordsize="4355,4109" path="m82,3692v77,52,380,202,465,270c632,4030,542,4109,592,4097l847,3887v120,-117,270,-307,465,-495c1507,3204,1865,3024,2017,2762v152,-262,182,-730,210,-945c2255,1602,2187,1604,2182,1472v-5,-132,-65,-318,15,-450c2277,890,2465,764,2662,677v197,-87,505,-155,720,-180c3597,472,3795,564,3952,527v157,-37,403,-195,375,-255c4299,212,3904,212,3787,167,3670,122,3684,4,3622,2,3560,,3609,120,3412,152v-197,32,-670,-42,-975,45c2132,284,1724,442,1582,677v-142,235,12,693,,930c1570,1844,1552,1947,1507,2102v-45,155,-30,248,-195,435c1147,2724,722,3042,517,3227,312,3412,155,3570,82,3647v-73,77,-82,-15,,45xe" fillcolor="#00b050" stroked="f" strokecolor="#00b050" strokeweight="3pt">
              <v:fill r:id="rId4" o:title="Diagonales larges vers le haut" color2="#ffc" type="pattern"/>
              <v:path arrowok="t"/>
            </v:shape>
            <v:shape id="_x0000_s1121" style="position:absolute;left:4501;top:3819;width:3842;height:3933" coordsize="3842,3933" path="m,3933c283,3658,566,3383,810,3159v244,-224,508,-317,653,-573c1608,2330,1646,1917,1682,1620v36,-297,-134,-600,,-819c1816,582,2196,391,2483,303v287,-88,695,21,921,-30c3630,222,3736,111,3842,e" filled="f" strokecolor="#00b050" strokeweight="4.5pt">
              <v:path arrowok="t"/>
            </v:shape>
            <v:shape id="_x0000_s1122" style="position:absolute;left:5158;top:4165;width:3842;height:3933" coordsize="3842,3933" path="m,3933c283,3658,566,3383,810,3159v244,-224,508,-317,653,-573c1608,2330,1646,1917,1682,1620v36,-297,-134,-600,,-819c1816,582,2196,391,2483,303v287,-88,695,21,921,-30c3630,222,3736,111,3842,e" filled="f" strokecolor="#00b050" strokeweight="4.5pt">
              <v:path arrowok="t"/>
            </v:shape>
          </v:group>
        </w:pict>
      </w:r>
      <w:r w:rsidR="00D8461B" w:rsidRPr="00D8461B">
        <w:rPr>
          <w:b/>
          <w:color w:val="002060"/>
        </w:rPr>
        <w:t>La capitale Brasilia, ville nouvelle</w:t>
      </w:r>
      <w:r w:rsidR="00D8461B">
        <w:rPr>
          <w:color w:val="002060"/>
        </w:rPr>
        <w:t xml:space="preserve"> crée dans les années 1960’ pour rééquilibrer le territoire. </w:t>
      </w:r>
      <w:r w:rsidR="00E068F5">
        <w:rPr>
          <w:color w:val="002060"/>
        </w:rPr>
        <w:t>Construite à partir de 1960</w:t>
      </w:r>
      <w:r w:rsidR="00265C68">
        <w:rPr>
          <w:color w:val="002060"/>
        </w:rPr>
        <w:t>,</w:t>
      </w:r>
      <w:r w:rsidR="00E068F5">
        <w:rPr>
          <w:color w:val="002060"/>
        </w:rPr>
        <w:t xml:space="preserve"> par les architectes brésiliens Oscar NIEMEYER et </w:t>
      </w:r>
      <w:proofErr w:type="spellStart"/>
      <w:r w:rsidR="00E068F5">
        <w:rPr>
          <w:color w:val="002060"/>
        </w:rPr>
        <w:t>Lúcio</w:t>
      </w:r>
      <w:proofErr w:type="spellEnd"/>
      <w:r w:rsidR="00E068F5">
        <w:rPr>
          <w:color w:val="002060"/>
        </w:rPr>
        <w:t xml:space="preserve"> COSTA. </w:t>
      </w:r>
      <w:r w:rsidR="00FF5615">
        <w:rPr>
          <w:color w:val="002060"/>
        </w:rPr>
        <w:t>Peuplées de 2,5 millions d’habitants, elle peine à attirer les flux d’investissements. </w:t>
      </w:r>
    </w:p>
    <w:p w:rsidR="00DF7994" w:rsidRDefault="00F709C5" w:rsidP="002C7375">
      <w:pPr>
        <w:ind w:left="1418"/>
        <w:jc w:val="both"/>
        <w:rPr>
          <w:color w:val="002060"/>
        </w:rPr>
      </w:pPr>
      <w:r w:rsidRPr="00F709C5">
        <w:rPr>
          <w:b/>
          <w:noProof/>
          <w:color w:val="002060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8" type="#_x0000_t13" style="position:absolute;left:0;text-align:left;margin-left:17.75pt;margin-top:29.15pt;width:32.3pt;height:17.25pt;rotation:14653284fd;z-index:251736064" fillcolor="#00b050" strokecolor="#00b050"/>
        </w:pict>
      </w:r>
      <w:r>
        <w:rPr>
          <w:noProof/>
          <w:color w:val="002060"/>
          <w:lang w:eastAsia="fr-FR"/>
        </w:rPr>
        <w:pict>
          <v:shape id="_x0000_s1129" style="position:absolute;left:0;text-align:left;margin-left:-6.05pt;margin-top:77.95pt;width:47.05pt;height:31.95pt;z-index:251737088" coordsize="9228,6096" path="m5397,1404r213,-333hdc5517,909,5325,471,5238,273v-66,195,-156,300,-231,477c4707,762,4669,755,4536,750hbc4403,745,4320,729,4206,717hdc4134,792,4146,777,4041,891v-117,27,-327,102,-516,150c3405,969,3486,1020,3327,936,3309,753,3255,333,3225,171,3144,63,3168,102,3087,v-75,54,-243,186,-447,321c2484,309,2277,282,2145,270v72,141,159,327,282,564c2205,993,2175,999,1932,1167,1647,1077,1164,972,870,915v3,300,33,1287,24,1620c588,2667,486,2715,183,2841,87,3108,51,3243,,3435v135,228,249,417,405,618c627,4158,771,4230,1056,4353v300,-117,579,-240,849,-375c2052,4206,2184,4512,2340,4770v240,81,591,165,813,225hcl3162,4115hal5802,4130,5967,2825r810,-15l6867,5420r1155,30l8304,6096r27,-1227l8418,4776,9183,3768hdc9216,3444,9219,3453,9228,3300hcl9042,2781hal7992,2166r-987,-90l6771,1749,6042,1539,5397,1404xe" filled="f" fillcolor="#ffc" strokecolor="#00b050" strokeweight="2.25pt">
            <v:path arrowok="t"/>
          </v:shape>
        </w:pict>
      </w:r>
      <w:r w:rsidR="008D537B" w:rsidRPr="008D537B">
        <w:rPr>
          <w:b/>
          <w:color w:val="002060"/>
        </w:rPr>
        <w:t>« Front pionnier », terres arables gagnées par la destruction de l’Amazonie</w:t>
      </w:r>
      <w:r w:rsidR="00D35742">
        <w:rPr>
          <w:b/>
          <w:color w:val="002060"/>
        </w:rPr>
        <w:t xml:space="preserve"> et zones de cultures et d’élevage destinés au marché mondial</w:t>
      </w:r>
      <w:r w:rsidR="004D7D56">
        <w:rPr>
          <w:color w:val="002060"/>
        </w:rPr>
        <w:t>.</w:t>
      </w:r>
      <w:r w:rsidR="00D35742">
        <w:rPr>
          <w:color w:val="002060"/>
        </w:rPr>
        <w:t> Les cultures intensives et l’élevage extensif ravagent l’environnement au détriment des populations natives</w:t>
      </w:r>
      <w:r w:rsidR="00FF5615">
        <w:rPr>
          <w:color w:val="002060"/>
        </w:rPr>
        <w:t xml:space="preserve"> persécutées</w:t>
      </w:r>
      <w:r w:rsidR="00D35742">
        <w:rPr>
          <w:color w:val="002060"/>
        </w:rPr>
        <w:t>. </w:t>
      </w:r>
      <w:r w:rsidR="008D537B" w:rsidRPr="008D537B">
        <w:rPr>
          <w:b/>
          <w:color w:val="002060"/>
        </w:rPr>
        <w:t>Principaux flux migratoires intérieurs au Brésil</w:t>
      </w:r>
      <w:r w:rsidR="008D537B">
        <w:rPr>
          <w:color w:val="002060"/>
        </w:rPr>
        <w:t>. </w:t>
      </w:r>
      <w:r w:rsidR="00D35742">
        <w:rPr>
          <w:color w:val="002060"/>
        </w:rPr>
        <w:t xml:space="preserve">L’exode rural s’effectue des régions pauvres vers les villes mais </w:t>
      </w:r>
      <w:r w:rsidR="00B50D64">
        <w:rPr>
          <w:color w:val="002060"/>
        </w:rPr>
        <w:t>aussi</w:t>
      </w:r>
      <w:r w:rsidR="00D35742">
        <w:rPr>
          <w:color w:val="002060"/>
        </w:rPr>
        <w:t xml:space="preserve"> vers le front pionnier amazonien</w:t>
      </w:r>
      <w:r w:rsidR="00181386">
        <w:rPr>
          <w:color w:val="002060"/>
        </w:rPr>
        <w:t>,</w:t>
      </w:r>
      <w:r w:rsidR="00D35742">
        <w:rPr>
          <w:color w:val="002060"/>
        </w:rPr>
        <w:t xml:space="preserve"> une « Terre sans hommes » pour des « hommes sans terre ». </w:t>
      </w:r>
    </w:p>
    <w:p w:rsidR="00181386" w:rsidRPr="00E22B7F" w:rsidRDefault="00B50D64" w:rsidP="002C7375">
      <w:pPr>
        <w:ind w:left="1418"/>
        <w:jc w:val="both"/>
        <w:rPr>
          <w:color w:val="002060"/>
        </w:rPr>
      </w:pPr>
      <w:r>
        <w:rPr>
          <w:color w:val="002060"/>
        </w:rPr>
        <w:t xml:space="preserve">Régions où </w:t>
      </w:r>
      <w:r w:rsidRPr="003D0548">
        <w:rPr>
          <w:b/>
          <w:color w:val="002060"/>
        </w:rPr>
        <w:t>p</w:t>
      </w:r>
      <w:r w:rsidR="004D7D56" w:rsidRPr="003D0548">
        <w:rPr>
          <w:b/>
          <w:color w:val="002060"/>
        </w:rPr>
        <w:t xml:space="preserve">lus de 30% des familles perçoivent la </w:t>
      </w:r>
      <w:proofErr w:type="spellStart"/>
      <w:r w:rsidR="00DA60AB" w:rsidRPr="003D0548">
        <w:rPr>
          <w:b/>
          <w:i/>
          <w:color w:val="002060"/>
        </w:rPr>
        <w:t>bolsa</w:t>
      </w:r>
      <w:proofErr w:type="spellEnd"/>
      <w:r w:rsidR="00DA60AB" w:rsidRPr="003D0548">
        <w:rPr>
          <w:b/>
          <w:i/>
          <w:color w:val="002060"/>
        </w:rPr>
        <w:t xml:space="preserve"> </w:t>
      </w:r>
      <w:proofErr w:type="spellStart"/>
      <w:r w:rsidR="00DA60AB" w:rsidRPr="003D0548">
        <w:rPr>
          <w:b/>
          <w:i/>
          <w:color w:val="002060"/>
        </w:rPr>
        <w:t>fam</w:t>
      </w:r>
      <w:r w:rsidR="009A7FEB" w:rsidRPr="003D0548">
        <w:rPr>
          <w:b/>
          <w:i/>
          <w:color w:val="002060"/>
        </w:rPr>
        <w:t>í</w:t>
      </w:r>
      <w:r w:rsidR="004D7D56" w:rsidRPr="003D0548">
        <w:rPr>
          <w:b/>
          <w:i/>
          <w:color w:val="002060"/>
        </w:rPr>
        <w:t>lia</w:t>
      </w:r>
      <w:proofErr w:type="spellEnd"/>
      <w:r w:rsidR="004D7D56">
        <w:rPr>
          <w:color w:val="002060"/>
        </w:rPr>
        <w:t>, des aides sociales versées en contrepartie de la scolarisation et de la vaccination des enfants. </w:t>
      </w:r>
      <w:r w:rsidR="009A7FEB">
        <w:rPr>
          <w:color w:val="002060"/>
        </w:rPr>
        <w:t>La droite revenue au pouvoir 2016 a exclue 1 million de Brésiliens de ce système d’</w:t>
      </w:r>
      <w:r w:rsidR="003D0548">
        <w:rPr>
          <w:color w:val="002060"/>
        </w:rPr>
        <w:t>aid</w:t>
      </w:r>
      <w:r w:rsidR="009A7FEB">
        <w:rPr>
          <w:color w:val="002060"/>
        </w:rPr>
        <w:t>e mis en place par la Parti des Travailleur (2014). </w:t>
      </w:r>
    </w:p>
    <w:sectPr w:rsidR="00181386" w:rsidRPr="00E22B7F" w:rsidSect="00DF7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7994"/>
    <w:rsid w:val="00002669"/>
    <w:rsid w:val="000C4289"/>
    <w:rsid w:val="0014401E"/>
    <w:rsid w:val="00181386"/>
    <w:rsid w:val="001A5D4F"/>
    <w:rsid w:val="001F7C28"/>
    <w:rsid w:val="002242F4"/>
    <w:rsid w:val="00265C68"/>
    <w:rsid w:val="002C7375"/>
    <w:rsid w:val="003B6AAE"/>
    <w:rsid w:val="003D0548"/>
    <w:rsid w:val="00422A82"/>
    <w:rsid w:val="00451E8F"/>
    <w:rsid w:val="004B4A27"/>
    <w:rsid w:val="004D7D56"/>
    <w:rsid w:val="005B5B90"/>
    <w:rsid w:val="00617BD7"/>
    <w:rsid w:val="0065380E"/>
    <w:rsid w:val="00673645"/>
    <w:rsid w:val="00673CA6"/>
    <w:rsid w:val="00723553"/>
    <w:rsid w:val="00765FC0"/>
    <w:rsid w:val="00793A26"/>
    <w:rsid w:val="0080243E"/>
    <w:rsid w:val="00811A88"/>
    <w:rsid w:val="0082182B"/>
    <w:rsid w:val="00873ECD"/>
    <w:rsid w:val="008758BA"/>
    <w:rsid w:val="008D537B"/>
    <w:rsid w:val="00915C4E"/>
    <w:rsid w:val="009A7FEB"/>
    <w:rsid w:val="00B33BD4"/>
    <w:rsid w:val="00B50D64"/>
    <w:rsid w:val="00B62581"/>
    <w:rsid w:val="00B92A9F"/>
    <w:rsid w:val="00B968B4"/>
    <w:rsid w:val="00B96BB1"/>
    <w:rsid w:val="00BB2163"/>
    <w:rsid w:val="00BD4FF1"/>
    <w:rsid w:val="00BF1970"/>
    <w:rsid w:val="00CA0721"/>
    <w:rsid w:val="00D35742"/>
    <w:rsid w:val="00D54704"/>
    <w:rsid w:val="00D8461B"/>
    <w:rsid w:val="00D956FD"/>
    <w:rsid w:val="00DA60AB"/>
    <w:rsid w:val="00DF03DE"/>
    <w:rsid w:val="00DF7994"/>
    <w:rsid w:val="00E068F5"/>
    <w:rsid w:val="00E179E3"/>
    <w:rsid w:val="00E22B7F"/>
    <w:rsid w:val="00E314B3"/>
    <w:rsid w:val="00E62D4D"/>
    <w:rsid w:val="00F02D50"/>
    <w:rsid w:val="00F03E3E"/>
    <w:rsid w:val="00F709C5"/>
    <w:rsid w:val="00FA17F8"/>
    <w:rsid w:val="00FA2026"/>
    <w:rsid w:val="00FA578A"/>
    <w:rsid w:val="00F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>
      <o:colormru v:ext="edit" colors="#ff6,#ff9"/>
      <o:colormenu v:ext="edit" fillcolor="#7030a0" strokecolor="#7030a0"/>
    </o:shapedefaults>
    <o:shapelayout v:ext="edit">
      <o:idmap v:ext="edit" data="1"/>
      <o:rules v:ext="edit">
        <o:r id="V:Rule8" type="connector" idref="#_x0000_s1031"/>
        <o:r id="V:Rule9" type="connector" idref="#_x0000_s1077"/>
        <o:r id="V:Rule10" type="connector" idref="#_x0000_s1126"/>
        <o:r id="V:Rule11" type="connector" idref="#_x0000_s1050"/>
        <o:r id="V:Rule12" type="connector" idref="#_x0000_s1048"/>
        <o:r id="V:Rule13" type="connector" idref="#_x0000_s1049"/>
        <o:r id="V:Rule14" type="connector" idref="#_x0000_s1127"/>
      </o:rules>
      <o:regrouptable v:ext="edit">
        <o:entry new="1" old="0"/>
        <o:entry new="2" old="0"/>
        <o:entry new="3" old="0"/>
        <o:entry new="4" old="3"/>
        <o:entry new="5" old="4"/>
        <o:entry new="6" old="5"/>
        <o:entry new="7" old="4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Installation</dc:creator>
  <cp:lastModifiedBy>berth25e</cp:lastModifiedBy>
  <cp:revision>30</cp:revision>
  <dcterms:created xsi:type="dcterms:W3CDTF">2020-02-26T12:00:00Z</dcterms:created>
  <dcterms:modified xsi:type="dcterms:W3CDTF">2020-03-17T15:56:00Z</dcterms:modified>
</cp:coreProperties>
</file>