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D7E" w:rsidRPr="007029F3" w:rsidRDefault="00B05D7E" w:rsidP="007029F3">
      <w:pPr>
        <w:pStyle w:val="Sansinterligne"/>
        <w:jc w:val="center"/>
        <w:rPr>
          <w:b/>
          <w:sz w:val="24"/>
          <w:szCs w:val="24"/>
        </w:rPr>
      </w:pPr>
      <w:r w:rsidRPr="007029F3">
        <w:rPr>
          <w:b/>
          <w:sz w:val="24"/>
          <w:szCs w:val="24"/>
        </w:rPr>
        <w:t>QUESTION PROBLÉMATISÉE</w:t>
      </w:r>
    </w:p>
    <w:p w:rsidR="00B05D7E" w:rsidRPr="007029F3" w:rsidRDefault="00B05D7E" w:rsidP="007029F3">
      <w:pPr>
        <w:pStyle w:val="Sansinterligne"/>
        <w:jc w:val="center"/>
        <w:rPr>
          <w:b/>
          <w:sz w:val="24"/>
          <w:szCs w:val="24"/>
        </w:rPr>
      </w:pPr>
      <w:r w:rsidRPr="007029F3">
        <w:rPr>
          <w:b/>
          <w:sz w:val="24"/>
          <w:szCs w:val="24"/>
        </w:rPr>
        <w:t>HISTOIRE</w:t>
      </w:r>
    </w:p>
    <w:p w:rsidR="00B05D7E" w:rsidRPr="007029F3" w:rsidRDefault="00B05D7E" w:rsidP="007029F3">
      <w:pPr>
        <w:pStyle w:val="Sansinterligne"/>
        <w:jc w:val="both"/>
        <w:rPr>
          <w:b/>
          <w:sz w:val="24"/>
          <w:szCs w:val="24"/>
        </w:rPr>
      </w:pPr>
      <w:r w:rsidRPr="007029F3">
        <w:rPr>
          <w:b/>
          <w:sz w:val="24"/>
          <w:szCs w:val="24"/>
        </w:rPr>
        <w:t>Thème II – « XV</w:t>
      </w:r>
      <w:r w:rsidRPr="007029F3">
        <w:rPr>
          <w:b/>
          <w:sz w:val="24"/>
          <w:szCs w:val="24"/>
          <w:vertAlign w:val="superscript"/>
        </w:rPr>
        <w:t>e</w:t>
      </w:r>
      <w:r w:rsidRPr="007029F3">
        <w:rPr>
          <w:b/>
          <w:sz w:val="24"/>
          <w:szCs w:val="24"/>
        </w:rPr>
        <w:t xml:space="preserve"> siècle – XVII</w:t>
      </w:r>
      <w:r w:rsidRPr="007029F3">
        <w:rPr>
          <w:b/>
          <w:sz w:val="24"/>
          <w:szCs w:val="24"/>
          <w:vertAlign w:val="superscript"/>
        </w:rPr>
        <w:t>e</w:t>
      </w:r>
      <w:r w:rsidRPr="007029F3">
        <w:rPr>
          <w:b/>
          <w:sz w:val="24"/>
          <w:szCs w:val="24"/>
        </w:rPr>
        <w:t xml:space="preserve"> siècle : un nouveau rapport au monde, un temps de mutations intellectuelles. »</w:t>
      </w:r>
    </w:p>
    <w:p w:rsidR="00B05D7E" w:rsidRPr="007029F3" w:rsidRDefault="00B05D7E" w:rsidP="007029F3">
      <w:pPr>
        <w:pStyle w:val="Sansinterligne"/>
        <w:jc w:val="both"/>
        <w:rPr>
          <w:b/>
          <w:color w:val="808080" w:themeColor="background1" w:themeShade="80"/>
        </w:rPr>
      </w:pPr>
      <w:r w:rsidRPr="007029F3">
        <w:rPr>
          <w:b/>
          <w:color w:val="808080" w:themeColor="background1" w:themeShade="80"/>
        </w:rPr>
        <w:t>Chapitre 4 « L’ouverture atlantique : les conséquences de la découverte du Nouveau Monde ». </w:t>
      </w:r>
    </w:p>
    <w:p w:rsidR="00035D49" w:rsidRDefault="00035D49" w:rsidP="007029F3">
      <w:pPr>
        <w:pStyle w:val="Sansinterligne"/>
        <w:jc w:val="both"/>
        <w:rPr>
          <w:sz w:val="20"/>
          <w:szCs w:val="20"/>
        </w:rPr>
      </w:pPr>
    </w:p>
    <w:p w:rsidR="00B05D7E" w:rsidRPr="00F60092" w:rsidRDefault="00B05D7E" w:rsidP="007029F3">
      <w:pPr>
        <w:pStyle w:val="Sansinterligne"/>
        <w:jc w:val="both"/>
        <w:rPr>
          <w:b/>
          <w:color w:val="808080" w:themeColor="background1" w:themeShade="80"/>
          <w:sz w:val="20"/>
          <w:szCs w:val="20"/>
        </w:rPr>
      </w:pPr>
      <w:r w:rsidRPr="00F60092">
        <w:rPr>
          <w:b/>
          <w:color w:val="808080" w:themeColor="background1" w:themeShade="80"/>
          <w:sz w:val="20"/>
          <w:szCs w:val="20"/>
        </w:rPr>
        <w:t>INTRODUCTION : </w:t>
      </w:r>
    </w:p>
    <w:p w:rsidR="00B05D7E" w:rsidRDefault="00B05D7E" w:rsidP="007029F3">
      <w:pPr>
        <w:pStyle w:val="Sansinterligne"/>
        <w:jc w:val="both"/>
      </w:pPr>
      <w:r>
        <w:tab/>
      </w:r>
      <w:r w:rsidRPr="00A94673">
        <w:t>Dans quelles mesures on peut affirmer que l’ouverture atlantique de l’Europe aux XV</w:t>
      </w:r>
      <w:r w:rsidRPr="00A94673">
        <w:rPr>
          <w:vertAlign w:val="superscript"/>
        </w:rPr>
        <w:t>e</w:t>
      </w:r>
      <w:r w:rsidRPr="00A94673">
        <w:t xml:space="preserve"> et XVII</w:t>
      </w:r>
      <w:r w:rsidRPr="00A94673">
        <w:rPr>
          <w:vertAlign w:val="superscript"/>
        </w:rPr>
        <w:t>e</w:t>
      </w:r>
      <w:r w:rsidRPr="00A94673">
        <w:t xml:space="preserve"> siècles constitue pour elle un bouleversement dans son rapport au monde ? </w:t>
      </w:r>
    </w:p>
    <w:p w:rsidR="003727BB" w:rsidRDefault="003727BB" w:rsidP="007029F3">
      <w:pPr>
        <w:pStyle w:val="Sansinterligne"/>
        <w:jc w:val="both"/>
      </w:pPr>
    </w:p>
    <w:p w:rsidR="00B05D7E" w:rsidRPr="007029F3" w:rsidRDefault="00B05D7E" w:rsidP="007029F3">
      <w:pPr>
        <w:pStyle w:val="Sansinterligne"/>
        <w:jc w:val="both"/>
        <w:rPr>
          <w:b/>
          <w:sz w:val="24"/>
          <w:szCs w:val="24"/>
        </w:rPr>
      </w:pPr>
      <w:r w:rsidRPr="007029F3">
        <w:rPr>
          <w:b/>
          <w:sz w:val="24"/>
          <w:szCs w:val="24"/>
        </w:rPr>
        <w:t>I. XV</w:t>
      </w:r>
      <w:r w:rsidRPr="007029F3">
        <w:rPr>
          <w:b/>
          <w:sz w:val="24"/>
          <w:szCs w:val="24"/>
          <w:vertAlign w:val="superscript"/>
        </w:rPr>
        <w:t>e</w:t>
      </w:r>
      <w:r w:rsidRPr="007029F3">
        <w:rPr>
          <w:b/>
          <w:sz w:val="24"/>
          <w:szCs w:val="24"/>
        </w:rPr>
        <w:t xml:space="preserve"> siècle – XVII</w:t>
      </w:r>
      <w:r w:rsidRPr="007029F3">
        <w:rPr>
          <w:b/>
          <w:sz w:val="24"/>
          <w:szCs w:val="24"/>
          <w:vertAlign w:val="superscript"/>
        </w:rPr>
        <w:t>e</w:t>
      </w:r>
      <w:r w:rsidRPr="007029F3">
        <w:rPr>
          <w:b/>
          <w:sz w:val="24"/>
          <w:szCs w:val="24"/>
        </w:rPr>
        <w:t xml:space="preserve"> siècle, enjeux et modalités de l’ouverture atlantique : des épices à l’empire, les balbutiements de la mondialisation ? </w:t>
      </w:r>
    </w:p>
    <w:p w:rsidR="00B05D7E" w:rsidRPr="00B05D7E" w:rsidRDefault="00B05D7E" w:rsidP="007029F3">
      <w:pPr>
        <w:pStyle w:val="Sansinterligne"/>
        <w:jc w:val="both"/>
        <w:rPr>
          <w:i/>
        </w:rPr>
      </w:pPr>
      <w:r w:rsidRPr="00B05D7E">
        <w:rPr>
          <w:i/>
        </w:rPr>
        <w:t>Dans quelles mesures peut-on affirmer que la quête des épices d’Asie entraîne la construction progressive d’un empire colonial européen en Amérique ? </w:t>
      </w:r>
    </w:p>
    <w:p w:rsidR="00B05D7E" w:rsidRPr="007029F3" w:rsidRDefault="00A8366C" w:rsidP="007029F3">
      <w:pPr>
        <w:pStyle w:val="Sansinterligne"/>
        <w:ind w:left="708"/>
        <w:jc w:val="both"/>
        <w:rPr>
          <w:b/>
        </w:rPr>
      </w:pPr>
      <w:r w:rsidRPr="007029F3">
        <w:rPr>
          <w:b/>
        </w:rPr>
        <w:t>1. </w:t>
      </w:r>
      <w:r w:rsidR="00035D49" w:rsidRPr="007029F3">
        <w:rPr>
          <w:b/>
        </w:rPr>
        <w:t>Les enjeux de l’ouverture atlantique des Européens aux XV</w:t>
      </w:r>
      <w:r w:rsidR="00035D49" w:rsidRPr="007029F3">
        <w:rPr>
          <w:b/>
          <w:vertAlign w:val="superscript"/>
        </w:rPr>
        <w:t>e</w:t>
      </w:r>
      <w:r w:rsidR="00035D49" w:rsidRPr="007029F3">
        <w:rPr>
          <w:b/>
        </w:rPr>
        <w:t xml:space="preserve"> et XVII</w:t>
      </w:r>
      <w:r w:rsidR="00035D49" w:rsidRPr="007029F3">
        <w:rPr>
          <w:b/>
          <w:vertAlign w:val="superscript"/>
        </w:rPr>
        <w:t>e</w:t>
      </w:r>
      <w:r w:rsidR="00035D49" w:rsidRPr="007029F3">
        <w:rPr>
          <w:b/>
        </w:rPr>
        <w:t xml:space="preserve"> siècle : quête des épices et construction d’un empire colonial américain. </w:t>
      </w:r>
    </w:p>
    <w:p w:rsidR="00035D49" w:rsidRDefault="00035D49" w:rsidP="007029F3">
      <w:pPr>
        <w:pStyle w:val="Sansinterligne"/>
        <w:ind w:left="1416"/>
        <w:jc w:val="both"/>
      </w:pPr>
      <w:r>
        <w:t>1°) Les épices de l’Asie : à la recherche des « Merveilles » de Marco POLO. </w:t>
      </w:r>
    </w:p>
    <w:p w:rsidR="00035D49" w:rsidRDefault="00035D49" w:rsidP="007029F3">
      <w:pPr>
        <w:pStyle w:val="Sansinterligne"/>
        <w:numPr>
          <w:ilvl w:val="0"/>
          <w:numId w:val="10"/>
        </w:numPr>
        <w:jc w:val="both"/>
      </w:pPr>
      <w:r>
        <w:t xml:space="preserve">Le </w:t>
      </w:r>
      <w:r w:rsidRPr="00035D49">
        <w:rPr>
          <w:i/>
        </w:rPr>
        <w:t>Livre des Merveilles</w:t>
      </w:r>
      <w:r>
        <w:t xml:space="preserve">, </w:t>
      </w:r>
      <w:r w:rsidRPr="006C0FB1">
        <w:t>1298</w:t>
      </w:r>
      <w:r>
        <w:t xml:space="preserve">, de Marco POLO et </w:t>
      </w:r>
      <w:proofErr w:type="spellStart"/>
      <w:r>
        <w:t>Rustiscello</w:t>
      </w:r>
      <w:proofErr w:type="spellEnd"/>
      <w:r>
        <w:t xml:space="preserve"> de Pise, succès du Moyen Âge </w:t>
      </w:r>
      <w:r w:rsidR="00B25B6D">
        <w:t>abondamment</w:t>
      </w:r>
      <w:r>
        <w:t xml:space="preserve"> annoté par Christophe COLOMB relate les richesses de l’Asie</w:t>
      </w:r>
    </w:p>
    <w:p w:rsidR="00035D49" w:rsidRDefault="00035D49" w:rsidP="007029F3">
      <w:pPr>
        <w:pStyle w:val="Sansinterligne"/>
        <w:numPr>
          <w:ilvl w:val="0"/>
          <w:numId w:val="10"/>
        </w:numPr>
        <w:jc w:val="both"/>
      </w:pPr>
      <w:r>
        <w:t>Le lent contournement de l’Afrique</w:t>
      </w:r>
      <w:r w:rsidR="002D4BD3">
        <w:t xml:space="preserve"> : </w:t>
      </w:r>
      <w:r w:rsidR="00015E2C">
        <w:t>(</w:t>
      </w:r>
      <w:r w:rsidR="006F76F6" w:rsidRPr="00495958">
        <w:rPr>
          <w:b/>
        </w:rPr>
        <w:t>14</w:t>
      </w:r>
      <w:r w:rsidR="00495958" w:rsidRPr="00495958">
        <w:rPr>
          <w:b/>
        </w:rPr>
        <w:t>34</w:t>
      </w:r>
      <w:r w:rsidR="00015E2C" w:rsidRPr="00015E2C">
        <w:t>)</w:t>
      </w:r>
      <w:r w:rsidR="00495958">
        <w:t xml:space="preserve"> le cap Bojador franchi par EANES, le Cap d</w:t>
      </w:r>
      <w:r w:rsidR="00015E2C">
        <w:t>e Bonne Espérance (</w:t>
      </w:r>
      <w:r w:rsidR="00495958" w:rsidRPr="00495958">
        <w:rPr>
          <w:b/>
        </w:rPr>
        <w:t>1488</w:t>
      </w:r>
      <w:r w:rsidR="00015E2C" w:rsidRPr="00015E2C">
        <w:t>)</w:t>
      </w:r>
      <w:r w:rsidR="00495958">
        <w:t xml:space="preserve"> par </w:t>
      </w:r>
      <w:proofErr w:type="spellStart"/>
      <w:r w:rsidR="00495958">
        <w:t>Ba</w:t>
      </w:r>
      <w:r w:rsidR="00892DD3">
        <w:t>rtolomeu</w:t>
      </w:r>
      <w:proofErr w:type="spellEnd"/>
      <w:r w:rsidR="00495958">
        <w:t xml:space="preserve"> DIAS. </w:t>
      </w:r>
    </w:p>
    <w:p w:rsidR="00035D49" w:rsidRDefault="00035D49" w:rsidP="007029F3">
      <w:pPr>
        <w:pStyle w:val="Sansinterligne"/>
        <w:numPr>
          <w:ilvl w:val="0"/>
          <w:numId w:val="10"/>
        </w:numPr>
        <w:jc w:val="both"/>
      </w:pPr>
      <w:r>
        <w:t>Vasco de GAMA en Inde (</w:t>
      </w:r>
      <w:r w:rsidRPr="004F1561">
        <w:rPr>
          <w:b/>
        </w:rPr>
        <w:t>1498</w:t>
      </w:r>
      <w:r>
        <w:t>)</w:t>
      </w:r>
      <w:r w:rsidR="008032BC">
        <w:t>, ALBUQUERQUE à Malacca (</w:t>
      </w:r>
      <w:r w:rsidR="008032BC" w:rsidRPr="008032BC">
        <w:rPr>
          <w:b/>
        </w:rPr>
        <w:t>1511</w:t>
      </w:r>
      <w:r w:rsidR="008032BC">
        <w:t>) et Macao (</w:t>
      </w:r>
      <w:r w:rsidR="008032BC" w:rsidRPr="008032BC">
        <w:rPr>
          <w:b/>
        </w:rPr>
        <w:t>1513</w:t>
      </w:r>
      <w:r w:rsidR="008032BC">
        <w:t>)</w:t>
      </w:r>
      <w:r w:rsidR="00495958">
        <w:t xml:space="preserve"> MAGELLAN entame la 1</w:t>
      </w:r>
      <w:r w:rsidR="00495958" w:rsidRPr="00495958">
        <w:rPr>
          <w:vertAlign w:val="superscript"/>
        </w:rPr>
        <w:t>ère</w:t>
      </w:r>
      <w:r w:rsidR="00495958">
        <w:t xml:space="preserve"> circumnavigation (</w:t>
      </w:r>
      <w:r w:rsidR="00FF3634">
        <w:rPr>
          <w:b/>
        </w:rPr>
        <w:t>1519-1522</w:t>
      </w:r>
      <w:r w:rsidR="00495958">
        <w:t>)</w:t>
      </w:r>
    </w:p>
    <w:p w:rsidR="00035D49" w:rsidRDefault="00035D49" w:rsidP="007029F3">
      <w:pPr>
        <w:pStyle w:val="Sansinterligne"/>
        <w:ind w:left="1416"/>
        <w:jc w:val="both"/>
      </w:pPr>
      <w:r>
        <w:t>2°) Le « Nouveau Monde » </w:t>
      </w:r>
      <w:r w:rsidR="00EE3856">
        <w:t>produit de l’avidité et de la foi. </w:t>
      </w:r>
      <w:r w:rsidR="00BA4CE4">
        <w:t> </w:t>
      </w:r>
    </w:p>
    <w:p w:rsidR="00BA4CE4" w:rsidRDefault="006F76F6" w:rsidP="007029F3">
      <w:pPr>
        <w:pStyle w:val="Sansinterligne"/>
        <w:numPr>
          <w:ilvl w:val="0"/>
          <w:numId w:val="11"/>
        </w:numPr>
        <w:jc w:val="both"/>
      </w:pPr>
      <w:r>
        <w:t>Hernan CORTÈS conquiert le Mexique (</w:t>
      </w:r>
      <w:r w:rsidRPr="004F1561">
        <w:rPr>
          <w:b/>
        </w:rPr>
        <w:t>1519</w:t>
      </w:r>
      <w:r>
        <w:t>), Francisco PIZZARO conquiert l’empire INCA (</w:t>
      </w:r>
      <w:r w:rsidRPr="004F1561">
        <w:rPr>
          <w:b/>
        </w:rPr>
        <w:t>1530</w:t>
      </w:r>
      <w:r>
        <w:t xml:space="preserve">), en </w:t>
      </w:r>
      <w:r w:rsidRPr="004F1561">
        <w:rPr>
          <w:b/>
        </w:rPr>
        <w:t>1543</w:t>
      </w:r>
      <w:r>
        <w:t xml:space="preserve"> Tanegashima (Japon) est atteint. </w:t>
      </w:r>
    </w:p>
    <w:p w:rsidR="00015E2C" w:rsidRDefault="00495958" w:rsidP="007029F3">
      <w:pPr>
        <w:pStyle w:val="Sansinterligne"/>
        <w:numPr>
          <w:ilvl w:val="0"/>
          <w:numId w:val="11"/>
        </w:numPr>
        <w:jc w:val="both"/>
      </w:pPr>
      <w:r>
        <w:t>Reconquista (</w:t>
      </w:r>
      <w:r w:rsidRPr="00892DD3">
        <w:rPr>
          <w:b/>
        </w:rPr>
        <w:t>1492</w:t>
      </w:r>
      <w:r>
        <w:t>) et prendre les Turcs à revers en faisant alliance avec le « Prêtre Jean », CHARLES QUINT prend Tunis (</w:t>
      </w:r>
      <w:r w:rsidRPr="00495958">
        <w:rPr>
          <w:b/>
        </w:rPr>
        <w:t>1535</w:t>
      </w:r>
      <w:r>
        <w:t>), échoue devant Alger (</w:t>
      </w:r>
      <w:r w:rsidRPr="00495958">
        <w:rPr>
          <w:b/>
        </w:rPr>
        <w:t>1541</w:t>
      </w:r>
      <w:r>
        <w:t>).</w:t>
      </w:r>
    </w:p>
    <w:p w:rsidR="00495958" w:rsidRDefault="00015E2C" w:rsidP="007029F3">
      <w:pPr>
        <w:pStyle w:val="Sansinterligne"/>
        <w:numPr>
          <w:ilvl w:val="0"/>
          <w:numId w:val="11"/>
        </w:numPr>
        <w:jc w:val="both"/>
      </w:pPr>
      <w:r>
        <w:t xml:space="preserve">Bulles papales qui consacrent les découvertes comme terres à convertir. Ex. Bulle </w:t>
      </w:r>
      <w:proofErr w:type="spellStart"/>
      <w:r w:rsidRPr="00015E2C">
        <w:rPr>
          <w:i/>
        </w:rPr>
        <w:t>Aeterni</w:t>
      </w:r>
      <w:proofErr w:type="spellEnd"/>
      <w:r w:rsidRPr="00015E2C">
        <w:rPr>
          <w:i/>
        </w:rPr>
        <w:t xml:space="preserve"> </w:t>
      </w:r>
      <w:proofErr w:type="spellStart"/>
      <w:r w:rsidRPr="00015E2C">
        <w:rPr>
          <w:i/>
        </w:rPr>
        <w:t>Regis</w:t>
      </w:r>
      <w:proofErr w:type="spellEnd"/>
      <w:r>
        <w:t xml:space="preserve"> du Pape Sixte IV (</w:t>
      </w:r>
      <w:r w:rsidRPr="00015E2C">
        <w:rPr>
          <w:b/>
        </w:rPr>
        <w:t>1481</w:t>
      </w:r>
      <w:r>
        <w:t>) qui soutient les prétentions portugaises. </w:t>
      </w:r>
      <w:r w:rsidR="00495958">
        <w:t> </w:t>
      </w:r>
    </w:p>
    <w:p w:rsidR="00A8366C" w:rsidRPr="007029F3" w:rsidRDefault="00A8366C" w:rsidP="007029F3">
      <w:pPr>
        <w:pStyle w:val="Sansinterligne"/>
        <w:ind w:left="708"/>
        <w:jc w:val="both"/>
        <w:rPr>
          <w:b/>
        </w:rPr>
      </w:pPr>
      <w:r w:rsidRPr="007029F3">
        <w:rPr>
          <w:b/>
        </w:rPr>
        <w:t>2. </w:t>
      </w:r>
      <w:r w:rsidR="00035D49" w:rsidRPr="007029F3">
        <w:rPr>
          <w:b/>
        </w:rPr>
        <w:t>Les modalités de l’ouverture atlantique des Européens aux XV</w:t>
      </w:r>
      <w:r w:rsidR="00035D49" w:rsidRPr="007029F3">
        <w:rPr>
          <w:b/>
          <w:vertAlign w:val="superscript"/>
        </w:rPr>
        <w:t>e</w:t>
      </w:r>
      <w:r w:rsidR="00035D49" w:rsidRPr="007029F3">
        <w:rPr>
          <w:b/>
        </w:rPr>
        <w:t xml:space="preserve"> et XVII</w:t>
      </w:r>
      <w:r w:rsidR="00035D49" w:rsidRPr="007029F3">
        <w:rPr>
          <w:b/>
          <w:vertAlign w:val="superscript"/>
        </w:rPr>
        <w:t>e</w:t>
      </w:r>
      <w:r w:rsidR="00035D49" w:rsidRPr="007029F3">
        <w:rPr>
          <w:b/>
        </w:rPr>
        <w:t xml:space="preserve"> siècle : révolution</w:t>
      </w:r>
      <w:r w:rsidR="006C0FB1" w:rsidRPr="007029F3">
        <w:rPr>
          <w:b/>
        </w:rPr>
        <w:t>s</w:t>
      </w:r>
      <w:r w:rsidR="00035D49" w:rsidRPr="007029F3">
        <w:rPr>
          <w:b/>
        </w:rPr>
        <w:t xml:space="preserve"> technique et intellectuelle de la Renaissance européenne. </w:t>
      </w:r>
    </w:p>
    <w:p w:rsidR="00C778F6" w:rsidRDefault="00035D49" w:rsidP="007029F3">
      <w:pPr>
        <w:pStyle w:val="Sansinterligne"/>
        <w:ind w:left="1416"/>
        <w:jc w:val="both"/>
      </w:pPr>
      <w:r>
        <w:t>1°) L’ouverture atlantique des Européens : le produit de révolutions techniques</w:t>
      </w:r>
      <w:r w:rsidR="00C778F6">
        <w:t xml:space="preserve"> et intellectuelles</w:t>
      </w:r>
      <w:r>
        <w:t>.</w:t>
      </w:r>
    </w:p>
    <w:p w:rsidR="00892DD3" w:rsidRDefault="00C778F6" w:rsidP="00892DD3">
      <w:pPr>
        <w:pStyle w:val="Sansinterligne"/>
        <w:numPr>
          <w:ilvl w:val="0"/>
          <w:numId w:val="10"/>
        </w:numPr>
        <w:jc w:val="both"/>
      </w:pPr>
      <w:r>
        <w:t>Une révolution technique : le gouvernail d’étambot, l’astronomie arabe, les compilations des textes anciens (PTOLÉMÉ</w:t>
      </w:r>
      <w:r w:rsidR="00FB033B">
        <w:t>E, ÉRATHOSTÈNE</w:t>
      </w:r>
      <w:r>
        <w:t>), des influences nordiques (</w:t>
      </w:r>
      <w:r w:rsidR="00FB033B" w:rsidRPr="002B1059">
        <w:rPr>
          <w:i/>
        </w:rPr>
        <w:t>sagas</w:t>
      </w:r>
      <w:r w:rsidR="00FB033B">
        <w:t xml:space="preserve"> vikings</w:t>
      </w:r>
      <w:r w:rsidR="00FB033B">
        <w:t xml:space="preserve">, </w:t>
      </w:r>
      <w:r>
        <w:t>La Caraque, navire lourd) permettent d’affronter l’océan atlantique. </w:t>
      </w:r>
    </w:p>
    <w:p w:rsidR="00035D49" w:rsidRDefault="00892DD3" w:rsidP="00892DD3">
      <w:pPr>
        <w:pStyle w:val="Sansinterligne"/>
        <w:numPr>
          <w:ilvl w:val="0"/>
          <w:numId w:val="10"/>
        </w:numPr>
        <w:jc w:val="both"/>
      </w:pPr>
      <w:r>
        <w:t>Ex. </w:t>
      </w:r>
      <w:r>
        <w:t>« découverte » des Caraïbes par Christophe COLOMB (</w:t>
      </w:r>
      <w:r w:rsidRPr="004F1561">
        <w:rPr>
          <w:b/>
        </w:rPr>
        <w:t>1492</w:t>
      </w:r>
      <w:r>
        <w:t xml:space="preserve">) et du « Nouveau Monde », WALDESEEMÜLLER, LUD &amp; RINGMANN, baptisé « Amérique » suivant </w:t>
      </w:r>
      <w:proofErr w:type="spellStart"/>
      <w:r>
        <w:t>Amerigo</w:t>
      </w:r>
      <w:proofErr w:type="spellEnd"/>
      <w:r>
        <w:t xml:space="preserve"> VESPUCCI (</w:t>
      </w:r>
      <w:r w:rsidRPr="008032BC">
        <w:rPr>
          <w:b/>
        </w:rPr>
        <w:t>1507</w:t>
      </w:r>
      <w:r>
        <w:t>)</w:t>
      </w:r>
      <w:r w:rsidR="008F15A2">
        <w:t xml:space="preserve"> 1</w:t>
      </w:r>
      <w:r w:rsidR="008F15A2" w:rsidRPr="008F15A2">
        <w:rPr>
          <w:vertAlign w:val="superscript"/>
        </w:rPr>
        <w:t>er</w:t>
      </w:r>
      <w:r w:rsidR="008F15A2">
        <w:t xml:space="preserve"> planisphère</w:t>
      </w:r>
      <w:r>
        <w:t>. </w:t>
      </w:r>
    </w:p>
    <w:p w:rsidR="00C778F6" w:rsidRDefault="00EE3856" w:rsidP="00F60092">
      <w:pPr>
        <w:pStyle w:val="Sansinterligne"/>
        <w:numPr>
          <w:ilvl w:val="0"/>
          <w:numId w:val="11"/>
        </w:numPr>
        <w:jc w:val="both"/>
      </w:pPr>
      <w:r>
        <w:t>Un partage du monde entre l’Espagne et le Portugal : traité de Tordesillas (</w:t>
      </w:r>
      <w:r w:rsidR="006C0FB1" w:rsidRPr="004F1561">
        <w:rPr>
          <w:b/>
        </w:rPr>
        <w:t>1494</w:t>
      </w:r>
      <w:r>
        <w:t>) et de Saragosse (</w:t>
      </w:r>
      <w:r w:rsidR="006C0FB1" w:rsidRPr="004F1561">
        <w:rPr>
          <w:b/>
        </w:rPr>
        <w:t>1529</w:t>
      </w:r>
      <w:r>
        <w:t>). </w:t>
      </w:r>
    </w:p>
    <w:p w:rsidR="0027265D" w:rsidRDefault="0027265D" w:rsidP="00F60092">
      <w:pPr>
        <w:pStyle w:val="Sansinterligne"/>
        <w:numPr>
          <w:ilvl w:val="0"/>
          <w:numId w:val="11"/>
        </w:numPr>
        <w:jc w:val="both"/>
      </w:pPr>
      <w:r>
        <w:t>Une mobilisation des savants en faveur de la conquête</w:t>
      </w:r>
      <w:r w:rsidR="00FF3634">
        <w:t>. Ex.</w:t>
      </w:r>
      <w:r>
        <w:t xml:space="preserve"> </w:t>
      </w:r>
      <w:r w:rsidR="00FF3634">
        <w:rPr>
          <w:i/>
        </w:rPr>
        <w:t>Des j</w:t>
      </w:r>
      <w:r w:rsidRPr="0027265D">
        <w:rPr>
          <w:i/>
        </w:rPr>
        <w:t>ustes causes de la Guerre</w:t>
      </w:r>
      <w:r>
        <w:t xml:space="preserve"> de SEPÚLVEDA (</w:t>
      </w:r>
      <w:r w:rsidRPr="0027265D">
        <w:rPr>
          <w:b/>
        </w:rPr>
        <w:t>1544</w:t>
      </w:r>
      <w:r>
        <w:t>)</w:t>
      </w:r>
    </w:p>
    <w:p w:rsidR="00035D49" w:rsidRDefault="00035D49" w:rsidP="007029F3">
      <w:pPr>
        <w:pStyle w:val="Sansinterligne"/>
        <w:ind w:left="1416"/>
        <w:jc w:val="both"/>
      </w:pPr>
      <w:r>
        <w:t>2°) L’ouverture atlantique des Europé</w:t>
      </w:r>
      <w:r w:rsidR="00B25B6D">
        <w:t>e</w:t>
      </w:r>
      <w:r w:rsidR="006C0FB1">
        <w:t>ns :</w:t>
      </w:r>
      <w:r>
        <w:t xml:space="preserve"> </w:t>
      </w:r>
      <w:r w:rsidR="00C778F6">
        <w:t>la mise en place d’un nouveau système-monde centré sur l’Europe ? </w:t>
      </w:r>
    </w:p>
    <w:p w:rsidR="00C778F6" w:rsidRDefault="00C778F6" w:rsidP="00F60092">
      <w:pPr>
        <w:pStyle w:val="Sansinterligne"/>
        <w:numPr>
          <w:ilvl w:val="0"/>
          <w:numId w:val="12"/>
        </w:numPr>
        <w:jc w:val="both"/>
      </w:pPr>
      <w:r>
        <w:t>L’empire colonial fournit des matières premières : argent et or d’Amérique, esclaves du Golfe de Guinée, or du Ghana…</w:t>
      </w:r>
    </w:p>
    <w:p w:rsidR="00FF3634" w:rsidRDefault="00FF3634" w:rsidP="00F60092">
      <w:pPr>
        <w:pStyle w:val="Sansinterligne"/>
        <w:numPr>
          <w:ilvl w:val="0"/>
          <w:numId w:val="12"/>
        </w:numPr>
        <w:jc w:val="both"/>
      </w:pPr>
      <w:r>
        <w:t>Le système de l’</w:t>
      </w:r>
      <w:r w:rsidRPr="00FF3634">
        <w:rPr>
          <w:i/>
        </w:rPr>
        <w:t>encomienda</w:t>
      </w:r>
      <w:r>
        <w:t xml:space="preserve"> (Propriété de type seigneurial des terres conquises) permet l’esclavage des Indiens puis celui des Africains. </w:t>
      </w:r>
    </w:p>
    <w:p w:rsidR="00892DD3" w:rsidRDefault="00892DD3" w:rsidP="00F60092">
      <w:pPr>
        <w:pStyle w:val="Sansinterligne"/>
        <w:numPr>
          <w:ilvl w:val="0"/>
          <w:numId w:val="12"/>
        </w:numPr>
        <w:jc w:val="both"/>
      </w:pPr>
      <w:r>
        <w:t xml:space="preserve">Des institutions sont créées pour gérer l’expansion : </w:t>
      </w:r>
      <w:r w:rsidRPr="00303770">
        <w:rPr>
          <w:i/>
        </w:rPr>
        <w:t xml:space="preserve">Casa da </w:t>
      </w:r>
      <w:proofErr w:type="spellStart"/>
      <w:r w:rsidRPr="00303770">
        <w:rPr>
          <w:i/>
        </w:rPr>
        <w:t>India</w:t>
      </w:r>
      <w:proofErr w:type="spellEnd"/>
      <w:r>
        <w:t xml:space="preserve"> à Lisbonne (Portugal), </w:t>
      </w:r>
      <w:r w:rsidRPr="00303770">
        <w:rPr>
          <w:i/>
        </w:rPr>
        <w:t xml:space="preserve">Casa de </w:t>
      </w:r>
      <w:proofErr w:type="spellStart"/>
      <w:r w:rsidRPr="00303770">
        <w:rPr>
          <w:i/>
        </w:rPr>
        <w:t>Contratación</w:t>
      </w:r>
      <w:proofErr w:type="spellEnd"/>
      <w:r>
        <w:t xml:space="preserve"> à Séville (Espagne). </w:t>
      </w:r>
    </w:p>
    <w:p w:rsidR="00C778F6" w:rsidRDefault="00F60092" w:rsidP="00F60092">
      <w:pPr>
        <w:pStyle w:val="Sansinterligne"/>
        <w:numPr>
          <w:ilvl w:val="0"/>
          <w:numId w:val="12"/>
        </w:numPr>
        <w:jc w:val="both"/>
      </w:pPr>
      <w:r w:rsidRPr="00F60092">
        <w:rPr>
          <w:b/>
        </w:rPr>
        <w:t>MAIS</w:t>
      </w:r>
      <w:r w:rsidR="00C778F6">
        <w:t xml:space="preserve"> une partie de ces richesses est acheminée directement vers l’Asie (Or, argent) pour acheter des soieries et de la porcelaine de Chine, des épices d’Indonésie et d’Inde. </w:t>
      </w:r>
      <w:r w:rsidR="00892DD3">
        <w:t>Ex. </w:t>
      </w:r>
      <w:r w:rsidR="00892DD3" w:rsidRPr="00892DD3">
        <w:rPr>
          <w:b/>
        </w:rPr>
        <w:t>1565</w:t>
      </w:r>
      <w:r w:rsidR="00892DD3">
        <w:t xml:space="preserve"> la traversée Manille vers Acapulco possible. </w:t>
      </w:r>
    </w:p>
    <w:p w:rsidR="006C0FB1" w:rsidRDefault="006C0FB1" w:rsidP="00F60092">
      <w:pPr>
        <w:pStyle w:val="Sansinterligne"/>
        <w:numPr>
          <w:ilvl w:val="0"/>
          <w:numId w:val="12"/>
        </w:numPr>
        <w:jc w:val="both"/>
      </w:pPr>
      <w:r w:rsidRPr="00F60092">
        <w:rPr>
          <w:b/>
        </w:rPr>
        <w:t>ET</w:t>
      </w:r>
      <w:r w:rsidRPr="006C0FB1">
        <w:t>,</w:t>
      </w:r>
      <w:r>
        <w:t xml:space="preserve"> l’argent d’Amérique enrichit les États européens comme les Pays-Bas (textile) ou la France (Céréales) qui fournissent aux ibériques les produits de leur consommation. </w:t>
      </w:r>
    </w:p>
    <w:p w:rsidR="00A14C5A" w:rsidRDefault="00A14C5A" w:rsidP="00A14C5A">
      <w:pPr>
        <w:pStyle w:val="Sansinterligne"/>
        <w:jc w:val="both"/>
      </w:pPr>
    </w:p>
    <w:p w:rsidR="006C0FB1" w:rsidRPr="00F60092" w:rsidRDefault="006C0FB1" w:rsidP="007029F3">
      <w:pPr>
        <w:pStyle w:val="Sansinterligne"/>
        <w:jc w:val="both"/>
        <w:rPr>
          <w:b/>
          <w:color w:val="808080" w:themeColor="background1" w:themeShade="80"/>
          <w:sz w:val="20"/>
          <w:szCs w:val="20"/>
        </w:rPr>
      </w:pPr>
      <w:r w:rsidRPr="00F60092">
        <w:rPr>
          <w:b/>
          <w:color w:val="808080" w:themeColor="background1" w:themeShade="80"/>
          <w:sz w:val="20"/>
          <w:szCs w:val="20"/>
        </w:rPr>
        <w:t>TRANSITION : </w:t>
      </w:r>
    </w:p>
    <w:p w:rsidR="006C0FB1" w:rsidRDefault="006C0FB1" w:rsidP="007029F3">
      <w:pPr>
        <w:pStyle w:val="Sansinterligne"/>
        <w:jc w:val="both"/>
      </w:pPr>
      <w:r>
        <w:t>L’Europe au XV</w:t>
      </w:r>
      <w:r w:rsidRPr="006C0FB1">
        <w:rPr>
          <w:vertAlign w:val="superscript"/>
        </w:rPr>
        <w:t>e</w:t>
      </w:r>
      <w:r>
        <w:t xml:space="preserve"> siècle et jusqu’au XVII</w:t>
      </w:r>
      <w:r w:rsidRPr="006C0FB1">
        <w:rPr>
          <w:vertAlign w:val="superscript"/>
        </w:rPr>
        <w:t>e</w:t>
      </w:r>
      <w:r>
        <w:t xml:space="preserve"> siècle se taille un empire immense, à l’instar de celui de CHARLES QUINT </w:t>
      </w:r>
      <w:r w:rsidR="00015E2C">
        <w:t>(</w:t>
      </w:r>
      <w:r w:rsidR="00015E2C" w:rsidRPr="00015E2C">
        <w:rPr>
          <w:b/>
        </w:rPr>
        <w:t>1516</w:t>
      </w:r>
      <w:r w:rsidR="00015E2C">
        <w:t>-</w:t>
      </w:r>
      <w:r w:rsidR="00015E2C" w:rsidRPr="00015E2C">
        <w:rPr>
          <w:b/>
        </w:rPr>
        <w:t>1556</w:t>
      </w:r>
      <w:r w:rsidR="00015E2C">
        <w:t xml:space="preserve">) </w:t>
      </w:r>
      <w:r>
        <w:t>sur lequel le « soleil ne se couche jamais ». Pourtant cette mainmise européenne sur le monde est à nuancer. </w:t>
      </w:r>
    </w:p>
    <w:p w:rsidR="00A14C5A" w:rsidRPr="006C0FB1" w:rsidRDefault="00A14C5A" w:rsidP="007029F3">
      <w:pPr>
        <w:pStyle w:val="Sansinterligne"/>
        <w:jc w:val="both"/>
      </w:pPr>
    </w:p>
    <w:p w:rsidR="00B05D7E" w:rsidRPr="007029F3" w:rsidRDefault="00B05D7E" w:rsidP="007029F3">
      <w:pPr>
        <w:pStyle w:val="Sansinterligne"/>
        <w:jc w:val="both"/>
        <w:rPr>
          <w:b/>
          <w:sz w:val="24"/>
          <w:szCs w:val="24"/>
        </w:rPr>
      </w:pPr>
      <w:r w:rsidRPr="007029F3">
        <w:rPr>
          <w:b/>
          <w:sz w:val="24"/>
          <w:szCs w:val="24"/>
        </w:rPr>
        <w:t>II. XV</w:t>
      </w:r>
      <w:r w:rsidRPr="007029F3">
        <w:rPr>
          <w:b/>
          <w:sz w:val="24"/>
          <w:szCs w:val="24"/>
          <w:vertAlign w:val="superscript"/>
        </w:rPr>
        <w:t>e</w:t>
      </w:r>
      <w:r w:rsidRPr="007029F3">
        <w:rPr>
          <w:b/>
          <w:sz w:val="24"/>
          <w:szCs w:val="24"/>
        </w:rPr>
        <w:t xml:space="preserve"> siècle – XVII</w:t>
      </w:r>
      <w:r w:rsidRPr="007029F3">
        <w:rPr>
          <w:b/>
          <w:sz w:val="24"/>
          <w:szCs w:val="24"/>
          <w:vertAlign w:val="superscript"/>
        </w:rPr>
        <w:t>e</w:t>
      </w:r>
      <w:r w:rsidRPr="007029F3">
        <w:rPr>
          <w:b/>
          <w:sz w:val="24"/>
          <w:szCs w:val="24"/>
        </w:rPr>
        <w:t xml:space="preserve"> siècle, limites et résistances à l’ouverture atlantique des Européens : l’Europe, une province périphérique du monde ? </w:t>
      </w:r>
    </w:p>
    <w:p w:rsidR="00A8366C" w:rsidRPr="00035D49" w:rsidRDefault="00035D49" w:rsidP="004F1561">
      <w:pPr>
        <w:pStyle w:val="Sansinterligne"/>
        <w:ind w:left="708"/>
        <w:jc w:val="both"/>
      </w:pPr>
      <w:r w:rsidRPr="004F1561">
        <w:rPr>
          <w:b/>
        </w:rPr>
        <w:t>1. Les limites de l’ouverture atlantique des Européens aux XV</w:t>
      </w:r>
      <w:r w:rsidRPr="004F1561">
        <w:rPr>
          <w:b/>
          <w:vertAlign w:val="superscript"/>
        </w:rPr>
        <w:t>e</w:t>
      </w:r>
      <w:r w:rsidRPr="004F1561">
        <w:rPr>
          <w:b/>
        </w:rPr>
        <w:t xml:space="preserve"> et XVII</w:t>
      </w:r>
      <w:r w:rsidRPr="004F1561">
        <w:rPr>
          <w:b/>
          <w:vertAlign w:val="superscript"/>
        </w:rPr>
        <w:t>e</w:t>
      </w:r>
      <w:r w:rsidRPr="004F1561">
        <w:rPr>
          <w:b/>
        </w:rPr>
        <w:t xml:space="preserve"> siècle : entre géopolitique et</w:t>
      </w:r>
      <w:r w:rsidRPr="00035D49">
        <w:t xml:space="preserve"> </w:t>
      </w:r>
      <w:r w:rsidRPr="008F15A2">
        <w:rPr>
          <w:b/>
        </w:rPr>
        <w:t>hybridation.</w:t>
      </w:r>
      <w:r w:rsidRPr="00035D49">
        <w:t> </w:t>
      </w:r>
    </w:p>
    <w:p w:rsidR="00035D49" w:rsidRDefault="00035D49" w:rsidP="004F1561">
      <w:pPr>
        <w:pStyle w:val="Sansinterligne"/>
        <w:ind w:left="1416"/>
        <w:jc w:val="both"/>
      </w:pPr>
      <w:r>
        <w:t>1°) </w:t>
      </w:r>
      <w:r w:rsidR="00EE3856">
        <w:t>La découverte du monde ne signifie pas la conquête du monde : Afrique et Asie restent plus puissantes que l’Europe. </w:t>
      </w:r>
    </w:p>
    <w:p w:rsidR="008F15A2" w:rsidRDefault="00E23527" w:rsidP="004F1561">
      <w:pPr>
        <w:pStyle w:val="Sansinterligne"/>
        <w:numPr>
          <w:ilvl w:val="0"/>
          <w:numId w:val="13"/>
        </w:numPr>
        <w:jc w:val="both"/>
      </w:pPr>
      <w:r>
        <w:t xml:space="preserve">En Afrique </w:t>
      </w:r>
      <w:r w:rsidR="008032BC">
        <w:t>(</w:t>
      </w:r>
      <w:proofErr w:type="spellStart"/>
      <w:r w:rsidR="008032BC">
        <w:t>Elmina</w:t>
      </w:r>
      <w:proofErr w:type="spellEnd"/>
      <w:r w:rsidR="008032BC">
        <w:t xml:space="preserve">, </w:t>
      </w:r>
      <w:r w:rsidR="008032BC" w:rsidRPr="008032BC">
        <w:rPr>
          <w:b/>
        </w:rPr>
        <w:t>1481</w:t>
      </w:r>
      <w:r w:rsidR="008032BC">
        <w:t xml:space="preserve">) </w:t>
      </w:r>
      <w:r>
        <w:t>et en Inde</w:t>
      </w:r>
      <w:r w:rsidR="008032BC">
        <w:t xml:space="preserve"> (Goa, </w:t>
      </w:r>
      <w:r w:rsidR="008032BC" w:rsidRPr="008032BC">
        <w:rPr>
          <w:b/>
        </w:rPr>
        <w:t>1510</w:t>
      </w:r>
      <w:r w:rsidR="008032BC">
        <w:t>)</w:t>
      </w:r>
      <w:r>
        <w:t>, les Portugais sont relégués sur les comptoirs des côtes et peinent à s’insérer dans le commerce local. </w:t>
      </w:r>
    </w:p>
    <w:p w:rsidR="00E23527" w:rsidRDefault="008032BC" w:rsidP="004F1561">
      <w:pPr>
        <w:pStyle w:val="Sansinterligne"/>
        <w:numPr>
          <w:ilvl w:val="0"/>
          <w:numId w:val="13"/>
        </w:numPr>
        <w:jc w:val="both"/>
      </w:pPr>
      <w:r>
        <w:t xml:space="preserve">Ex. Esclaves achetés à Sao Tomé </w:t>
      </w:r>
      <w:r w:rsidR="00D93FCE">
        <w:t xml:space="preserve">par les Portugais </w:t>
      </w:r>
      <w:r>
        <w:t xml:space="preserve">et revendus à Sao Jorge da Mina </w:t>
      </w:r>
      <w:r w:rsidR="00D93FCE">
        <w:t>(</w:t>
      </w:r>
      <w:proofErr w:type="spellStart"/>
      <w:r w:rsidR="00D93FCE">
        <w:t>Elmina</w:t>
      </w:r>
      <w:proofErr w:type="spellEnd"/>
      <w:r w:rsidR="00D93FCE">
        <w:t xml:space="preserve">) </w:t>
      </w:r>
      <w:r>
        <w:t>pour le compte des souverains africains. </w:t>
      </w:r>
      <w:bookmarkStart w:id="0" w:name="_GoBack"/>
      <w:bookmarkEnd w:id="0"/>
    </w:p>
    <w:p w:rsidR="00E23527" w:rsidRDefault="00E23527" w:rsidP="004F1561">
      <w:pPr>
        <w:pStyle w:val="Sansinterligne"/>
        <w:numPr>
          <w:ilvl w:val="0"/>
          <w:numId w:val="13"/>
        </w:numPr>
        <w:jc w:val="both"/>
      </w:pPr>
      <w:r>
        <w:t>En Extrême-Orient, les Portugais et les Espagnols sont expulsés : exemple de Tomé PIRES (</w:t>
      </w:r>
      <w:r w:rsidRPr="00F60092">
        <w:rPr>
          <w:b/>
        </w:rPr>
        <w:t>1517</w:t>
      </w:r>
      <w:r>
        <w:t>) exécuté avec son ambassade. </w:t>
      </w:r>
    </w:p>
    <w:p w:rsidR="00EE3856" w:rsidRDefault="00EE3856" w:rsidP="004F1561">
      <w:pPr>
        <w:pStyle w:val="Sansinterligne"/>
        <w:ind w:left="1416"/>
        <w:jc w:val="both"/>
      </w:pPr>
      <w:r>
        <w:t>2°) La culture européenne chrétienne ne se superpose pas immédiatement aux cultures amérindiennes antérieures. </w:t>
      </w:r>
    </w:p>
    <w:p w:rsidR="002D4BD3" w:rsidRDefault="002D4BD3" w:rsidP="004F1561">
      <w:pPr>
        <w:pStyle w:val="Sansinterligne"/>
        <w:numPr>
          <w:ilvl w:val="0"/>
          <w:numId w:val="14"/>
        </w:numPr>
        <w:jc w:val="both"/>
      </w:pPr>
      <w:r>
        <w:t>Le syncrétisme religieux et culturel reste fort. Ex. Le Vaudou dans les Caraïbes. </w:t>
      </w:r>
    </w:p>
    <w:p w:rsidR="00495958" w:rsidRDefault="002D4BD3" w:rsidP="004F1561">
      <w:pPr>
        <w:pStyle w:val="Sansinterligne"/>
        <w:numPr>
          <w:ilvl w:val="0"/>
          <w:numId w:val="14"/>
        </w:numPr>
        <w:jc w:val="both"/>
      </w:pPr>
      <w:r>
        <w:t>Les cabinets de curiosité des princes de la Renaissance, les églises et les palais européens se nourrissent de l’esthétique amérindienne. Ex. </w:t>
      </w:r>
      <w:r w:rsidR="00F2213F" w:rsidRPr="00892DD3">
        <w:rPr>
          <w:i/>
        </w:rPr>
        <w:t>Codex Mendoza</w:t>
      </w:r>
      <w:r w:rsidR="00F2213F">
        <w:t xml:space="preserve"> (</w:t>
      </w:r>
      <w:r w:rsidR="00F2213F" w:rsidRPr="00F2213F">
        <w:rPr>
          <w:b/>
        </w:rPr>
        <w:t>1541</w:t>
      </w:r>
      <w:r w:rsidR="00F2213F">
        <w:t>) commandé par le Vice-Roi Antonio de MENDOZA</w:t>
      </w:r>
      <w:r w:rsidR="00892DD3">
        <w:t xml:space="preserve">, un Espagnol, </w:t>
      </w:r>
      <w:r w:rsidR="00F2213F">
        <w:t xml:space="preserve"> et réalisé par un scribe indigène </w:t>
      </w:r>
      <w:r w:rsidR="00F2213F">
        <w:t xml:space="preserve">Francisco </w:t>
      </w:r>
      <w:r w:rsidR="00F2213F">
        <w:t>GUALPUYOHUALCAL</w:t>
      </w:r>
      <w:r w:rsidR="008F15A2">
        <w:t xml:space="preserve"> sur un mode métissé amérindien et ibérique</w:t>
      </w:r>
      <w:r>
        <w:t>.</w:t>
      </w:r>
    </w:p>
    <w:p w:rsidR="002D4BD3" w:rsidRDefault="00495958" w:rsidP="004F1561">
      <w:pPr>
        <w:pStyle w:val="Sansinterligne"/>
        <w:numPr>
          <w:ilvl w:val="0"/>
          <w:numId w:val="14"/>
        </w:numPr>
        <w:jc w:val="both"/>
      </w:pPr>
      <w:r>
        <w:t xml:space="preserve">Serge GRUZINSKI, </w:t>
      </w:r>
      <w:r w:rsidR="00EB7201">
        <w:rPr>
          <w:i/>
        </w:rPr>
        <w:t>La p</w:t>
      </w:r>
      <w:r w:rsidRPr="00495958">
        <w:rPr>
          <w:i/>
        </w:rPr>
        <w:t>ensée métisse</w:t>
      </w:r>
      <w:r>
        <w:t xml:space="preserve">, </w:t>
      </w:r>
      <w:r w:rsidR="008F15A2">
        <w:t>1999, Paris, Fayard. </w:t>
      </w:r>
      <w:r w:rsidR="002D4BD3">
        <w:t> </w:t>
      </w:r>
    </w:p>
    <w:p w:rsidR="00A8366C" w:rsidRPr="004F1561" w:rsidRDefault="00A8366C" w:rsidP="004F1561">
      <w:pPr>
        <w:pStyle w:val="Sansinterligne"/>
        <w:ind w:left="708"/>
        <w:jc w:val="both"/>
        <w:rPr>
          <w:b/>
        </w:rPr>
      </w:pPr>
      <w:r w:rsidRPr="004F1561">
        <w:rPr>
          <w:b/>
        </w:rPr>
        <w:t>2. </w:t>
      </w:r>
      <w:r w:rsidR="00035D49" w:rsidRPr="004F1561">
        <w:rPr>
          <w:b/>
        </w:rPr>
        <w:t>Les résistances à l’ouverture atlantique aux XV</w:t>
      </w:r>
      <w:r w:rsidR="00035D49" w:rsidRPr="004F1561">
        <w:rPr>
          <w:b/>
          <w:vertAlign w:val="superscript"/>
        </w:rPr>
        <w:t>e</w:t>
      </w:r>
      <w:r w:rsidR="00035D49" w:rsidRPr="004F1561">
        <w:rPr>
          <w:b/>
        </w:rPr>
        <w:t xml:space="preserve"> et XVII</w:t>
      </w:r>
      <w:r w:rsidR="00035D49" w:rsidRPr="004F1561">
        <w:rPr>
          <w:b/>
          <w:vertAlign w:val="superscript"/>
        </w:rPr>
        <w:t>e</w:t>
      </w:r>
      <w:r w:rsidR="00035D49" w:rsidRPr="004F1561">
        <w:rPr>
          <w:b/>
        </w:rPr>
        <w:t xml:space="preserve"> siècle : résistances et remises en questions. </w:t>
      </w:r>
    </w:p>
    <w:p w:rsidR="00035D49" w:rsidRDefault="00035D49" w:rsidP="004F1561">
      <w:pPr>
        <w:pStyle w:val="Sansinterligne"/>
        <w:ind w:left="1416"/>
        <w:jc w:val="both"/>
      </w:pPr>
      <w:r>
        <w:t>1°) Les résistances politiq</w:t>
      </w:r>
      <w:r w:rsidR="00EE3856">
        <w:t>ues</w:t>
      </w:r>
      <w:r>
        <w:t xml:space="preserve"> à la colonisation européenne. </w:t>
      </w:r>
    </w:p>
    <w:p w:rsidR="00EE3856" w:rsidRDefault="00EE3856" w:rsidP="004F1561">
      <w:pPr>
        <w:pStyle w:val="Sansinterligne"/>
        <w:numPr>
          <w:ilvl w:val="0"/>
          <w:numId w:val="15"/>
        </w:numPr>
        <w:jc w:val="both"/>
      </w:pPr>
      <w:r>
        <w:t xml:space="preserve">Le cas du Japon : fermeture du Japon shogunal des TOKUGAWA </w:t>
      </w:r>
      <w:r w:rsidR="00716718">
        <w:t>(</w:t>
      </w:r>
      <w:r w:rsidR="00716718" w:rsidRPr="00716718">
        <w:rPr>
          <w:b/>
        </w:rPr>
        <w:t>1603</w:t>
      </w:r>
      <w:r w:rsidR="00EB7201" w:rsidRPr="00EB7201">
        <w:t xml:space="preserve">, lois du </w:t>
      </w:r>
      <w:proofErr w:type="spellStart"/>
      <w:r w:rsidR="00EB7201" w:rsidRPr="00EB7201">
        <w:rPr>
          <w:i/>
        </w:rPr>
        <w:t>Sakoku</w:t>
      </w:r>
      <w:proofErr w:type="spellEnd"/>
      <w:r w:rsidR="00EB7201" w:rsidRPr="00EB7201">
        <w:t>)</w:t>
      </w:r>
      <w:r w:rsidR="00716718">
        <w:t xml:space="preserve">) </w:t>
      </w:r>
      <w:r>
        <w:t>et persécutions des chrétiens</w:t>
      </w:r>
      <w:r w:rsidR="00716718">
        <w:t xml:space="preserve"> (</w:t>
      </w:r>
      <w:r w:rsidR="00716718" w:rsidRPr="00716718">
        <w:rPr>
          <w:b/>
        </w:rPr>
        <w:t>1635</w:t>
      </w:r>
      <w:r w:rsidR="00716718">
        <w:t>)</w:t>
      </w:r>
      <w:r>
        <w:t>. </w:t>
      </w:r>
    </w:p>
    <w:p w:rsidR="00E23527" w:rsidRDefault="00E23527" w:rsidP="004F1561">
      <w:pPr>
        <w:pStyle w:val="Sansinterligne"/>
        <w:numPr>
          <w:ilvl w:val="0"/>
          <w:numId w:val="15"/>
        </w:numPr>
        <w:jc w:val="both"/>
      </w:pPr>
      <w:r>
        <w:t>Les États indiens (Chefferies, confédérations) en Amérique du Nord résistent et expulsent les expéditions des conquistadores. </w:t>
      </w:r>
      <w:r w:rsidR="00F2213F">
        <w:t xml:space="preserve">Ex. </w:t>
      </w:r>
      <w:r w:rsidR="0027265D">
        <w:t>Hernando DE SOTO (</w:t>
      </w:r>
      <w:r w:rsidR="00892DD3" w:rsidRPr="00716718">
        <w:rPr>
          <w:b/>
        </w:rPr>
        <w:t>1539</w:t>
      </w:r>
      <w:r w:rsidR="00892DD3">
        <w:t>-</w:t>
      </w:r>
      <w:r w:rsidR="00892DD3" w:rsidRPr="00716718">
        <w:rPr>
          <w:b/>
        </w:rPr>
        <w:t>1542</w:t>
      </w:r>
      <w:r w:rsidR="0027265D">
        <w:t>) et C</w:t>
      </w:r>
      <w:r w:rsidR="00716718">
        <w:t>ORONADO</w:t>
      </w:r>
      <w:r w:rsidR="0027265D">
        <w:t xml:space="preserve"> (</w:t>
      </w:r>
      <w:r w:rsidR="00716718" w:rsidRPr="00716718">
        <w:rPr>
          <w:b/>
        </w:rPr>
        <w:t>1540-1542</w:t>
      </w:r>
      <w:r w:rsidR="0027265D">
        <w:t>). </w:t>
      </w:r>
    </w:p>
    <w:p w:rsidR="001068D3" w:rsidRDefault="001068D3" w:rsidP="004F1561">
      <w:pPr>
        <w:pStyle w:val="Sansinterligne"/>
        <w:numPr>
          <w:ilvl w:val="0"/>
          <w:numId w:val="15"/>
        </w:numPr>
        <w:jc w:val="both"/>
      </w:pPr>
      <w:r>
        <w:t xml:space="preserve">Les souverains africains s’emparent des comptoirs européens et les revendent à des concurrents. Ex. Fort </w:t>
      </w:r>
      <w:proofErr w:type="spellStart"/>
      <w:r>
        <w:t>Christianburg</w:t>
      </w:r>
      <w:proofErr w:type="spellEnd"/>
      <w:r w:rsidR="00015E2C">
        <w:t xml:space="preserve"> (Accra, GHANA) attaqué </w:t>
      </w:r>
      <w:r w:rsidR="00D93FCE">
        <w:t xml:space="preserve">et pris </w:t>
      </w:r>
      <w:r w:rsidR="00015E2C">
        <w:t xml:space="preserve">par les guerriers </w:t>
      </w:r>
      <w:proofErr w:type="spellStart"/>
      <w:r w:rsidR="00015E2C">
        <w:t>Akwamu</w:t>
      </w:r>
      <w:proofErr w:type="spellEnd"/>
      <w:r>
        <w:t>. </w:t>
      </w:r>
    </w:p>
    <w:p w:rsidR="00EB7201" w:rsidRDefault="00EB7201" w:rsidP="004F1561">
      <w:pPr>
        <w:pStyle w:val="Sansinterligne"/>
        <w:numPr>
          <w:ilvl w:val="0"/>
          <w:numId w:val="15"/>
        </w:numPr>
        <w:jc w:val="both"/>
      </w:pPr>
      <w:r>
        <w:t>Anglais et Français contestent le monopole ibérique sur les découvertes. Ex. </w:t>
      </w:r>
      <w:r w:rsidR="008F15A2">
        <w:t>François I</w:t>
      </w:r>
      <w:r w:rsidR="008F15A2" w:rsidRPr="00015E2C">
        <w:rPr>
          <w:vertAlign w:val="superscript"/>
        </w:rPr>
        <w:t>er</w:t>
      </w:r>
      <w:r w:rsidR="008F15A2">
        <w:t xml:space="preserve"> qui déclare « […] </w:t>
      </w:r>
      <w:r w:rsidR="008F15A2">
        <w:rPr>
          <w:rStyle w:val="citation"/>
        </w:rPr>
        <w:t>le soleil luit pour moi comme pour les autres. Je voudrais bien voir la clause du testament d'</w:t>
      </w:r>
      <w:r w:rsidR="008F15A2" w:rsidRPr="008F15A2">
        <w:rPr>
          <w:rStyle w:val="citation"/>
        </w:rPr>
        <w:t>Adam</w:t>
      </w:r>
      <w:r w:rsidR="008F15A2">
        <w:rPr>
          <w:rStyle w:val="citation"/>
        </w:rPr>
        <w:t xml:space="preserve"> qui m'exclut du partage du monde</w:t>
      </w:r>
      <w:r w:rsidR="008F15A2">
        <w:t> […] » (</w:t>
      </w:r>
      <w:r w:rsidR="00D93FCE" w:rsidRPr="00D93FCE">
        <w:rPr>
          <w:b/>
        </w:rPr>
        <w:t>1540</w:t>
      </w:r>
      <w:r w:rsidR="008F15A2">
        <w:t>). </w:t>
      </w:r>
    </w:p>
    <w:p w:rsidR="00035D49" w:rsidRDefault="00035D49" w:rsidP="004F1561">
      <w:pPr>
        <w:pStyle w:val="Sansinterligne"/>
        <w:ind w:left="1416"/>
        <w:jc w:val="both"/>
      </w:pPr>
      <w:r>
        <w:t>2°) Les remises en questions idéologiques : naissance d’un nouveau rapport à l’autre ? </w:t>
      </w:r>
    </w:p>
    <w:p w:rsidR="0027265D" w:rsidRDefault="0027265D" w:rsidP="0027265D">
      <w:pPr>
        <w:pStyle w:val="Sansinterligne"/>
        <w:numPr>
          <w:ilvl w:val="0"/>
          <w:numId w:val="16"/>
        </w:numPr>
        <w:jc w:val="both"/>
      </w:pPr>
      <w:r w:rsidRPr="0027265D">
        <w:rPr>
          <w:b/>
        </w:rPr>
        <w:t>1526</w:t>
      </w:r>
      <w:r>
        <w:t xml:space="preserve">, </w:t>
      </w:r>
      <w:r>
        <w:rPr>
          <w:b/>
        </w:rPr>
        <w:t>1542</w:t>
      </w:r>
      <w:r>
        <w:t xml:space="preserve"> « Lois Nouvelles » de CHARLES QUINT interdisant l’esclavage des Indiens d’Amérique</w:t>
      </w:r>
    </w:p>
    <w:p w:rsidR="0027265D" w:rsidRDefault="0027265D" w:rsidP="0027265D">
      <w:pPr>
        <w:pStyle w:val="Sansinterligne"/>
        <w:numPr>
          <w:ilvl w:val="0"/>
          <w:numId w:val="16"/>
        </w:numPr>
        <w:jc w:val="both"/>
      </w:pPr>
      <w:r w:rsidRPr="0027265D">
        <w:rPr>
          <w:b/>
        </w:rPr>
        <w:t>1537</w:t>
      </w:r>
      <w:r>
        <w:t xml:space="preserve">, bulle </w:t>
      </w:r>
      <w:proofErr w:type="spellStart"/>
      <w:r w:rsidRPr="0027265D">
        <w:rPr>
          <w:i/>
        </w:rPr>
        <w:t>Sublimis</w:t>
      </w:r>
      <w:proofErr w:type="spellEnd"/>
      <w:r w:rsidRPr="0027265D">
        <w:rPr>
          <w:i/>
        </w:rPr>
        <w:t xml:space="preserve"> Deus</w:t>
      </w:r>
      <w:r>
        <w:t xml:space="preserve"> du Pape PAUL III, lettre </w:t>
      </w:r>
      <w:r w:rsidRPr="0027265D">
        <w:rPr>
          <w:i/>
        </w:rPr>
        <w:t xml:space="preserve">Veritas </w:t>
      </w:r>
      <w:proofErr w:type="spellStart"/>
      <w:r w:rsidRPr="0027265D">
        <w:rPr>
          <w:i/>
        </w:rPr>
        <w:t>Ipsa</w:t>
      </w:r>
      <w:proofErr w:type="spellEnd"/>
      <w:r>
        <w:t xml:space="preserve"> à l’archevêque de Tolède Juan </w:t>
      </w:r>
      <w:proofErr w:type="spellStart"/>
      <w:r>
        <w:t>Pardo</w:t>
      </w:r>
      <w:proofErr w:type="spellEnd"/>
      <w:r>
        <w:t xml:space="preserve"> DE TAVERA</w:t>
      </w:r>
      <w:r w:rsidR="001068D3">
        <w:t xml:space="preserve"> condamnent l’esclavage des Indiens</w:t>
      </w:r>
      <w:r>
        <w:t>. </w:t>
      </w:r>
    </w:p>
    <w:p w:rsidR="00F2213F" w:rsidRDefault="00F2213F" w:rsidP="0027265D">
      <w:pPr>
        <w:pStyle w:val="Sansinterligne"/>
        <w:numPr>
          <w:ilvl w:val="0"/>
          <w:numId w:val="16"/>
        </w:numPr>
        <w:jc w:val="both"/>
      </w:pPr>
      <w:r>
        <w:t>Controverse de Valladolid (</w:t>
      </w:r>
      <w:r w:rsidRPr="00F2213F">
        <w:rPr>
          <w:b/>
        </w:rPr>
        <w:t>1550-1551</w:t>
      </w:r>
      <w:r>
        <w:t>) organisée entre LAS</w:t>
      </w:r>
      <w:r w:rsidR="0027265D">
        <w:t xml:space="preserve"> CASAS, évêque du Chipas</w:t>
      </w:r>
      <w:r w:rsidR="00015E2C">
        <w:t>,</w:t>
      </w:r>
      <w:r w:rsidR="0027265D">
        <w:t xml:space="preserve"> et SEPÚ</w:t>
      </w:r>
      <w:r>
        <w:t xml:space="preserve">LVEDA, </w:t>
      </w:r>
      <w:r w:rsidR="0027265D">
        <w:t>entraîne une nouvelle condamnation de l’esclavage des Indiens. </w:t>
      </w:r>
    </w:p>
    <w:p w:rsidR="0027265D" w:rsidRDefault="0027265D" w:rsidP="0027265D">
      <w:pPr>
        <w:pStyle w:val="Sansinterligne"/>
        <w:numPr>
          <w:ilvl w:val="0"/>
          <w:numId w:val="16"/>
        </w:numPr>
        <w:jc w:val="both"/>
      </w:pPr>
      <w:r w:rsidRPr="0027265D">
        <w:rPr>
          <w:b/>
        </w:rPr>
        <w:t>1552</w:t>
      </w:r>
      <w:r>
        <w:t xml:space="preserve"> </w:t>
      </w:r>
      <w:proofErr w:type="gramStart"/>
      <w:r>
        <w:t>parution</w:t>
      </w:r>
      <w:proofErr w:type="gramEnd"/>
      <w:r>
        <w:t xml:space="preserve"> de la </w:t>
      </w:r>
      <w:r>
        <w:rPr>
          <w:i/>
          <w:iCs/>
        </w:rPr>
        <w:t>Très brève relation de la destruction des Indes</w:t>
      </w:r>
      <w:r w:rsidRPr="0027265D">
        <w:rPr>
          <w:iCs/>
        </w:rPr>
        <w:t xml:space="preserve"> de LAS CASAS</w:t>
      </w:r>
    </w:p>
    <w:p w:rsidR="00495958" w:rsidRDefault="00495958" w:rsidP="004F1561">
      <w:pPr>
        <w:pStyle w:val="Sansinterligne"/>
        <w:ind w:left="1416"/>
        <w:jc w:val="both"/>
      </w:pPr>
    </w:p>
    <w:p w:rsidR="00B05D7E" w:rsidRPr="00F60092" w:rsidRDefault="00B05D7E" w:rsidP="007029F3">
      <w:pPr>
        <w:pStyle w:val="Sansinterligne"/>
        <w:jc w:val="both"/>
        <w:rPr>
          <w:b/>
          <w:color w:val="808080" w:themeColor="background1" w:themeShade="80"/>
          <w:sz w:val="20"/>
          <w:szCs w:val="20"/>
        </w:rPr>
      </w:pPr>
      <w:r w:rsidRPr="00F60092">
        <w:rPr>
          <w:b/>
          <w:color w:val="808080" w:themeColor="background1" w:themeShade="80"/>
          <w:sz w:val="20"/>
          <w:szCs w:val="20"/>
        </w:rPr>
        <w:t>CONCLUSION : </w:t>
      </w:r>
    </w:p>
    <w:p w:rsidR="00B05D7E" w:rsidRDefault="00035D49" w:rsidP="007029F3">
      <w:pPr>
        <w:pStyle w:val="Sansinterligne"/>
        <w:jc w:val="both"/>
      </w:pPr>
      <w:r>
        <w:t>L’ouverture atlantique des Européens au XV</w:t>
      </w:r>
      <w:r w:rsidRPr="00035D49">
        <w:rPr>
          <w:vertAlign w:val="superscript"/>
        </w:rPr>
        <w:t>e</w:t>
      </w:r>
      <w:r>
        <w:t xml:space="preserve"> siècle et au XVII</w:t>
      </w:r>
      <w:r w:rsidRPr="00035D49">
        <w:rPr>
          <w:vertAlign w:val="superscript"/>
        </w:rPr>
        <w:t>e</w:t>
      </w:r>
      <w:r>
        <w:t xml:space="preserve"> siècle</w:t>
      </w:r>
      <w:r w:rsidR="00EE3856">
        <w:t>,</w:t>
      </w:r>
      <w:r>
        <w:t xml:space="preserve"> initialement motivée par la quête des richesses de l’Asie</w:t>
      </w:r>
      <w:r w:rsidR="00EE3856">
        <w:t>,</w:t>
      </w:r>
      <w:r>
        <w:t xml:space="preserve"> les amène au contact des peuples amérindiens rapidement conquis et pour partie exterminés : ce contact modifie profondément le rapport de l’Europe au reste du monde. Dans un premier temps, l’Europe</w:t>
      </w:r>
      <w:r w:rsidR="00015E2C">
        <w:t xml:space="preserve"> se pense au centre du Monde. M</w:t>
      </w:r>
      <w:r>
        <w:t>ais elle en vient aussi à voir le centre de gravité économique se déplacer vers l’Amérique tandis que les</w:t>
      </w:r>
      <w:r w:rsidR="00EE3856">
        <w:t xml:space="preserve"> résistances autochtones lui fon</w:t>
      </w:r>
      <w:r>
        <w:t>t prendre conscience de ses faiblesses. Les oppositions humanistes à la colonisation renforcent ses interrogations sur le sens à donner à sa propre culture : le sentiment d’être Européen se développe au fur et à mesure qu</w:t>
      </w:r>
      <w:r w:rsidR="00EE3856">
        <w:t>e l’Europe prend conscience de s</w:t>
      </w:r>
      <w:r>
        <w:t>a position marginale sur la carte du monde. </w:t>
      </w:r>
    </w:p>
    <w:sectPr w:rsidR="00B05D7E" w:rsidSect="00B05D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3148B"/>
    <w:multiLevelType w:val="hybridMultilevel"/>
    <w:tmpl w:val="269EEFC8"/>
    <w:lvl w:ilvl="0" w:tplc="0D6412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73796"/>
    <w:multiLevelType w:val="hybridMultilevel"/>
    <w:tmpl w:val="77009A1A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06DF4C32"/>
    <w:multiLevelType w:val="hybridMultilevel"/>
    <w:tmpl w:val="DFC66776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0A76758F"/>
    <w:multiLevelType w:val="hybridMultilevel"/>
    <w:tmpl w:val="C6728708"/>
    <w:lvl w:ilvl="0" w:tplc="1BCA65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2C6D4E"/>
    <w:multiLevelType w:val="hybridMultilevel"/>
    <w:tmpl w:val="1C3C9A82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19882296"/>
    <w:multiLevelType w:val="hybridMultilevel"/>
    <w:tmpl w:val="98F67A6C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19B56DDC"/>
    <w:multiLevelType w:val="hybridMultilevel"/>
    <w:tmpl w:val="27C88DA4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26512D99"/>
    <w:multiLevelType w:val="hybridMultilevel"/>
    <w:tmpl w:val="125CCC34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3E3B2234"/>
    <w:multiLevelType w:val="hybridMultilevel"/>
    <w:tmpl w:val="26E0EAE8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48A81FC0"/>
    <w:multiLevelType w:val="hybridMultilevel"/>
    <w:tmpl w:val="8AAE9A3C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4B571687"/>
    <w:multiLevelType w:val="hybridMultilevel"/>
    <w:tmpl w:val="D12C0258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551F610D"/>
    <w:multiLevelType w:val="hybridMultilevel"/>
    <w:tmpl w:val="D77C714E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55FA28C1"/>
    <w:multiLevelType w:val="hybridMultilevel"/>
    <w:tmpl w:val="685AC82A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>
    <w:nsid w:val="56E43B2D"/>
    <w:multiLevelType w:val="hybridMultilevel"/>
    <w:tmpl w:val="CF5A6D44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5EA82805"/>
    <w:multiLevelType w:val="hybridMultilevel"/>
    <w:tmpl w:val="28D24388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>
    <w:nsid w:val="742D3487"/>
    <w:multiLevelType w:val="hybridMultilevel"/>
    <w:tmpl w:val="AF20034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7"/>
  </w:num>
  <w:num w:numId="5">
    <w:abstractNumId w:val="11"/>
  </w:num>
  <w:num w:numId="6">
    <w:abstractNumId w:val="6"/>
  </w:num>
  <w:num w:numId="7">
    <w:abstractNumId w:val="15"/>
  </w:num>
  <w:num w:numId="8">
    <w:abstractNumId w:val="13"/>
  </w:num>
  <w:num w:numId="9">
    <w:abstractNumId w:val="4"/>
  </w:num>
  <w:num w:numId="10">
    <w:abstractNumId w:val="14"/>
  </w:num>
  <w:num w:numId="11">
    <w:abstractNumId w:val="5"/>
  </w:num>
  <w:num w:numId="12">
    <w:abstractNumId w:val="1"/>
  </w:num>
  <w:num w:numId="13">
    <w:abstractNumId w:val="12"/>
  </w:num>
  <w:num w:numId="14">
    <w:abstractNumId w:val="9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5D7E"/>
    <w:rsid w:val="00015E2C"/>
    <w:rsid w:val="00035D49"/>
    <w:rsid w:val="00074540"/>
    <w:rsid w:val="001068D3"/>
    <w:rsid w:val="0027265D"/>
    <w:rsid w:val="002B1059"/>
    <w:rsid w:val="002D4BD3"/>
    <w:rsid w:val="00303770"/>
    <w:rsid w:val="003727BB"/>
    <w:rsid w:val="00456BBE"/>
    <w:rsid w:val="00495958"/>
    <w:rsid w:val="004F1561"/>
    <w:rsid w:val="006C0FB1"/>
    <w:rsid w:val="006F76F6"/>
    <w:rsid w:val="007029F3"/>
    <w:rsid w:val="00716718"/>
    <w:rsid w:val="008032BC"/>
    <w:rsid w:val="00892DD3"/>
    <w:rsid w:val="008F15A2"/>
    <w:rsid w:val="00A14C5A"/>
    <w:rsid w:val="00A672EA"/>
    <w:rsid w:val="00A8366C"/>
    <w:rsid w:val="00B05D7E"/>
    <w:rsid w:val="00B25B6D"/>
    <w:rsid w:val="00BA4CE4"/>
    <w:rsid w:val="00C778F6"/>
    <w:rsid w:val="00D93FCE"/>
    <w:rsid w:val="00E23527"/>
    <w:rsid w:val="00EB7201"/>
    <w:rsid w:val="00EE3856"/>
    <w:rsid w:val="00F2213F"/>
    <w:rsid w:val="00F60092"/>
    <w:rsid w:val="00FB033B"/>
    <w:rsid w:val="00FF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2596A-D302-4725-8CF0-66E30EA6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D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5D7E"/>
    <w:pPr>
      <w:ind w:left="720"/>
      <w:contextualSpacing/>
    </w:pPr>
  </w:style>
  <w:style w:type="paragraph" w:styleId="Sansinterligne">
    <w:name w:val="No Spacing"/>
    <w:uiPriority w:val="1"/>
    <w:qFormat/>
    <w:rsid w:val="007029F3"/>
    <w:pPr>
      <w:spacing w:after="0" w:line="240" w:lineRule="auto"/>
    </w:pPr>
  </w:style>
  <w:style w:type="character" w:customStyle="1" w:styleId="citation">
    <w:name w:val="citation"/>
    <w:basedOn w:val="Policepardfaut"/>
    <w:rsid w:val="008F15A2"/>
  </w:style>
  <w:style w:type="character" w:styleId="Lienhypertexte">
    <w:name w:val="Hyperlink"/>
    <w:basedOn w:val="Policepardfaut"/>
    <w:uiPriority w:val="99"/>
    <w:semiHidden/>
    <w:unhideWhenUsed/>
    <w:rsid w:val="008F15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6191</TotalTime>
  <Pages>2</Pages>
  <Words>1168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La Fontaine</Company>
  <LinksUpToDate>false</LinksUpToDate>
  <CharactersWithSpaces>7582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berth25e</dc:creator>
  <cp:lastModifiedBy>Installation</cp:lastModifiedBy>
  <cp:revision>26</cp:revision>
  <dcterms:created xsi:type="dcterms:W3CDTF">2019-12-24T10:17:00Z</dcterms:created>
  <dcterms:modified xsi:type="dcterms:W3CDTF">2019-12-29T00:14:00Z</dcterms:modified>
</cp:coreProperties>
</file>