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57" w:rsidRDefault="00B66EC2" w:rsidP="003B45E2">
      <w:pPr>
        <w:jc w:val="both"/>
        <w:rPr>
          <w:b/>
          <w:color w:val="FF0000"/>
          <w:sz w:val="28"/>
          <w:szCs w:val="28"/>
        </w:rPr>
      </w:pPr>
      <w:r>
        <w:rPr>
          <w:b/>
          <w:noProof/>
          <w:color w:val="FF0000"/>
          <w:sz w:val="28"/>
          <w:szCs w:val="28"/>
          <w:lang w:eastAsia="fr-FR"/>
        </w:rPr>
        <w:pict>
          <v:shapetype id="_x0000_t202" coordsize="21600,21600" o:spt="202" path="m,l,21600r21600,l21600,xe">
            <v:stroke joinstyle="miter"/>
            <v:path gradientshapeok="t" o:connecttype="rect"/>
          </v:shapetype>
          <v:shape id="_x0000_s1052" type="#_x0000_t202" style="position:absolute;left:0;text-align:left;margin-left:-36.75pt;margin-top:-3.55pt;width:596.25pt;height:24pt;z-index:251669504;mso-position-horizontal-relative:text;mso-position-vertical-relative:text" filled="f" stroked="f">
            <v:textbox>
              <w:txbxContent>
                <w:p w:rsidR="00335D57" w:rsidRPr="005D65B0" w:rsidRDefault="00335D57" w:rsidP="00335D57">
                  <w:pPr>
                    <w:jc w:val="center"/>
                    <w:rPr>
                      <w:b/>
                      <w:color w:val="002060"/>
                    </w:rPr>
                  </w:pPr>
                  <w:r w:rsidRPr="005D65B0">
                    <w:rPr>
                      <w:b/>
                      <w:color w:val="002060"/>
                    </w:rPr>
                    <w:t>COMMENT LE JAPON, PAYS RICHE ET INDUSTRIALIÉ, FAIT-IL FACE À L’EXTRÊME DIVERSITÉ DES RISQUES QUI LE MENACENT ? </w:t>
                  </w:r>
                </w:p>
              </w:txbxContent>
            </v:textbox>
          </v:shape>
        </w:pict>
      </w:r>
      <w:r w:rsidR="00AD776A">
        <w:rPr>
          <w:b/>
          <w:noProof/>
          <w:color w:val="FF0000"/>
          <w:sz w:val="28"/>
          <w:szCs w:val="28"/>
          <w:lang w:eastAsia="fr-FR"/>
        </w:rPr>
        <w:pict>
          <v:shape id="_x0000_s1051" type="#_x0000_t202" style="position:absolute;left:0;text-align:left;margin-left:1.8pt;margin-top:-23.05pt;width:523.95pt;height:27pt;z-index:251668480;mso-position-horizontal-relative:text;mso-position-vertical-relative:text" filled="f" stroked="f">
            <v:textbox>
              <w:txbxContent>
                <w:p w:rsidR="00335D57" w:rsidRPr="003D4859" w:rsidRDefault="00335D57" w:rsidP="00335D57">
                  <w:pPr>
                    <w:jc w:val="center"/>
                    <w:rPr>
                      <w:b/>
                      <w:color w:val="002060"/>
                      <w:sz w:val="28"/>
                      <w:szCs w:val="28"/>
                    </w:rPr>
                  </w:pPr>
                  <w:r w:rsidRPr="003D4859">
                    <w:rPr>
                      <w:b/>
                      <w:color w:val="002060"/>
                      <w:sz w:val="28"/>
                      <w:szCs w:val="28"/>
                    </w:rPr>
                    <w:t>L</w:t>
                  </w:r>
                  <w:r>
                    <w:rPr>
                      <w:b/>
                      <w:color w:val="002060"/>
                      <w:sz w:val="28"/>
                      <w:szCs w:val="28"/>
                    </w:rPr>
                    <w:t>e J</w:t>
                  </w:r>
                  <w:r w:rsidRPr="003D4859">
                    <w:rPr>
                      <w:b/>
                      <w:color w:val="002060"/>
                      <w:sz w:val="28"/>
                      <w:szCs w:val="28"/>
                    </w:rPr>
                    <w:t>apon : un pays riche et industrialisé face à une extrême diversité de risques</w:t>
                  </w:r>
                </w:p>
              </w:txbxContent>
            </v:textbox>
          </v:shape>
        </w:pict>
      </w:r>
    </w:p>
    <w:p w:rsidR="007E1E65" w:rsidRPr="003B45E2" w:rsidRDefault="003B45E2" w:rsidP="007B4622">
      <w:pPr>
        <w:spacing w:after="0" w:line="240" w:lineRule="auto"/>
        <w:jc w:val="both"/>
        <w:rPr>
          <w:b/>
          <w:color w:val="FF0000"/>
          <w:sz w:val="28"/>
          <w:szCs w:val="28"/>
        </w:rPr>
      </w:pPr>
      <w:r w:rsidRPr="003B45E2">
        <w:rPr>
          <w:b/>
          <w:color w:val="FF0000"/>
          <w:sz w:val="28"/>
          <w:szCs w:val="28"/>
        </w:rPr>
        <w:t>I. Le Japon, sous la menace d’aléas nombreux, variés et puissants. </w:t>
      </w:r>
    </w:p>
    <w:p w:rsidR="003B45E2" w:rsidRDefault="00AD776A" w:rsidP="007B4622">
      <w:pPr>
        <w:spacing w:after="0" w:line="240" w:lineRule="auto"/>
        <w:ind w:left="1410"/>
        <w:jc w:val="both"/>
        <w:rPr>
          <w:color w:val="002060"/>
        </w:rPr>
      </w:pPr>
      <w:r w:rsidRPr="00AD776A">
        <w:rPr>
          <w:b/>
          <w:noProof/>
          <w:color w:val="002060"/>
          <w:lang w:eastAsia="fr-FR"/>
        </w:rPr>
        <w:pict>
          <v:shape id="_x0000_s1026" style="position:absolute;left:0;text-align:left;margin-left:5.25pt;margin-top:8.25pt;width:49.5pt;height:3.55pt;z-index:251658240" coordsize="1860,225" path="m,225l1860,e" filled="f" strokecolor="#00b050" strokeweight="2.25pt">
            <v:stroke dashstyle="dash"/>
            <v:path arrowok="t"/>
          </v:shape>
        </w:pict>
      </w:r>
      <w:r w:rsidR="00AA0BD9" w:rsidRPr="00300C55">
        <w:rPr>
          <w:b/>
          <w:color w:val="002060"/>
        </w:rPr>
        <w:t>Grandes failles tectoniques</w:t>
      </w:r>
      <w:r w:rsidR="00AA0BD9">
        <w:rPr>
          <w:color w:val="002060"/>
        </w:rPr>
        <w:t xml:space="preserve"> qui traversent le Japon. Le pays est au croisement des grandes failles du Pacifique</w:t>
      </w:r>
      <w:r w:rsidR="00677143">
        <w:rPr>
          <w:color w:val="002060"/>
        </w:rPr>
        <w:t> : les séismes sont fréquents. </w:t>
      </w:r>
    </w:p>
    <w:p w:rsidR="003B45E2" w:rsidRDefault="00B66EC2" w:rsidP="00B66EC2">
      <w:pPr>
        <w:spacing w:after="0" w:line="240" w:lineRule="auto"/>
        <w:ind w:left="1410"/>
        <w:jc w:val="both"/>
        <w:rPr>
          <w:color w:val="002060"/>
        </w:rPr>
      </w:pPr>
      <w:r>
        <w:rPr>
          <w:noProof/>
          <w:color w:val="002060"/>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9.75pt;margin-top:7.3pt;width:11.3pt;height:9.75pt;z-index:251660288" fillcolor="#bf8f00 [2407]" strokecolor="#823b0b [1605]"/>
        </w:pict>
      </w:r>
      <w:r>
        <w:rPr>
          <w:noProof/>
          <w:color w:val="002060"/>
          <w:lang w:eastAsia="fr-FR"/>
        </w:rPr>
        <w:pict>
          <v:group id="_x0000_s1083" style="position:absolute;left:0;text-align:left;margin-left:-1pt;margin-top:24.35pt;width:35.65pt;height:35.65pt;z-index:251692032" coordorigin="2167,3330" coordsize="1905,1905">
            <v:oval id="_x0000_s1084" style="position:absolute;left:2880;top:4050;width:330;height:330" filled="f" strokecolor="red" strokeweight="1.5pt"/>
            <v:oval id="_x0000_s1085" style="position:absolute;left:2730;top:3900;width:630;height:630" filled="f" strokecolor="red" strokeweight="1.5pt"/>
            <v:oval id="_x0000_s1086" style="position:absolute;left:2618;top:3787;width:855;height:855" filled="f" strokecolor="red" strokeweight="1.5pt"/>
            <v:shapetype id="_x0000_t32" coordsize="21600,21600" o:spt="32" o:oned="t" path="m,l21600,21600e" filled="f">
              <v:path arrowok="t" fillok="f" o:connecttype="none"/>
              <o:lock v:ext="edit" shapetype="t"/>
            </v:shapetype>
            <v:shape id="_x0000_s1087" type="#_x0000_t32" style="position:absolute;left:3045;top:3330;width:0;height:1905" o:connectortype="straight" strokecolor="red" strokeweight="1.5pt"/>
            <v:shape id="_x0000_s1088" type="#_x0000_t32" style="position:absolute;left:3120;top:3270;width:0;height:1905;rotation:90" o:connectortype="straight" strokecolor="red" strokeweight="1.5pt"/>
          </v:group>
        </w:pict>
      </w:r>
      <w:r w:rsidR="00AA0BD9" w:rsidRPr="00300C55">
        <w:rPr>
          <w:b/>
          <w:color w:val="002060"/>
        </w:rPr>
        <w:t>Volcans principaux</w:t>
      </w:r>
      <w:r w:rsidR="00AA0BD9">
        <w:rPr>
          <w:color w:val="002060"/>
        </w:rPr>
        <w:t xml:space="preserve"> du Japon. </w:t>
      </w:r>
      <w:r w:rsidR="00615E1E">
        <w:rPr>
          <w:color w:val="002060"/>
        </w:rPr>
        <w:t>Il en existe 111 en activité au Japon. </w:t>
      </w:r>
      <w:r>
        <w:rPr>
          <w:color w:val="002060"/>
        </w:rPr>
        <w:t xml:space="preserve">Certains comme le Mont </w:t>
      </w:r>
      <w:proofErr w:type="spellStart"/>
      <w:r>
        <w:rPr>
          <w:color w:val="002060"/>
        </w:rPr>
        <w:t>Unzen</w:t>
      </w:r>
      <w:proofErr w:type="spellEnd"/>
      <w:r>
        <w:rPr>
          <w:color w:val="002060"/>
        </w:rPr>
        <w:t xml:space="preserve"> sont en activité constante pendant plusieurs années. </w:t>
      </w:r>
    </w:p>
    <w:p w:rsidR="003B45E2" w:rsidRDefault="00615E1E" w:rsidP="007B4622">
      <w:pPr>
        <w:spacing w:after="0" w:line="240" w:lineRule="auto"/>
        <w:ind w:left="1416"/>
        <w:jc w:val="both"/>
        <w:rPr>
          <w:color w:val="002060"/>
        </w:rPr>
      </w:pPr>
      <w:r w:rsidRPr="00300C55">
        <w:rPr>
          <w:b/>
          <w:color w:val="002060"/>
        </w:rPr>
        <w:t>Tremblements de terre :</w:t>
      </w:r>
      <w:r>
        <w:rPr>
          <w:color w:val="002060"/>
        </w:rPr>
        <w:t xml:space="preserve"> les Japonais et le pays sont normalement préparés aux tremblements de terre mais encore faut-il que les normes antisismiques soient respectées par les entreprises du BTP. </w:t>
      </w:r>
    </w:p>
    <w:p w:rsidR="003B45E2" w:rsidRDefault="00B66EC2" w:rsidP="007B4622">
      <w:pPr>
        <w:spacing w:after="0" w:line="240" w:lineRule="auto"/>
        <w:ind w:left="1410"/>
        <w:jc w:val="both"/>
        <w:rPr>
          <w:color w:val="002060"/>
        </w:rPr>
      </w:pPr>
      <w:r>
        <w:rPr>
          <w:noProof/>
          <w:color w:val="002060"/>
          <w:lang w:eastAsia="fr-FR"/>
        </w:rPr>
        <w:pict>
          <v:rect id="_x0000_s1030" style="position:absolute;left:0;text-align:left;margin-left:-8.85pt;margin-top:11.55pt;width:44.25pt;height:16.3pt;z-index:251662336;mso-position-horizontal-relative:text;mso-position-vertical-relative:text" fillcolor="#9cc2e5 [1940]"/>
        </w:pict>
      </w:r>
      <w:r>
        <w:rPr>
          <w:noProof/>
          <w:color w:val="002060"/>
          <w:lang w:eastAsia="fr-FR"/>
        </w:rPr>
        <w:drawing>
          <wp:anchor distT="0" distB="0" distL="114300" distR="114300" simplePos="0" relativeHeight="251663360" behindDoc="0" locked="0" layoutInCell="1" allowOverlap="1">
            <wp:simplePos x="0" y="0"/>
            <wp:positionH relativeFrom="column">
              <wp:posOffset>542925</wp:posOffset>
            </wp:positionH>
            <wp:positionV relativeFrom="paragraph">
              <wp:posOffset>128905</wp:posOffset>
            </wp:positionV>
            <wp:extent cx="228600" cy="200025"/>
            <wp:effectExtent l="0" t="0" r="0" b="0"/>
            <wp:wrapNone/>
            <wp:docPr id="1" name="Image 1" descr="C:\Program Files (x86)\Microsoft Office\MEDIA\OFFICE12\Bullets\BD2129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OFFICE12\Bullets\BD21295_.gif"/>
                    <pic:cNvPicPr>
                      <a:picLocks noChangeAspect="1" noChangeArrowheads="1"/>
                    </pic:cNvPicPr>
                  </pic:nvPicPr>
                  <pic:blipFill>
                    <a:blip r:embed="rId4" cstate="print"/>
                    <a:srcRect/>
                    <a:stretch>
                      <a:fillRect/>
                    </a:stretch>
                  </pic:blipFill>
                  <pic:spPr bwMode="auto">
                    <a:xfrm>
                      <a:off x="0" y="0"/>
                      <a:ext cx="228600" cy="200025"/>
                    </a:xfrm>
                    <a:prstGeom prst="rect">
                      <a:avLst/>
                    </a:prstGeom>
                    <a:noFill/>
                    <a:ln w="9525">
                      <a:noFill/>
                      <a:miter lim="800000"/>
                      <a:headEnd/>
                      <a:tailEnd/>
                    </a:ln>
                  </pic:spPr>
                </pic:pic>
              </a:graphicData>
            </a:graphic>
          </wp:anchor>
        </w:drawing>
      </w:r>
      <w:r w:rsidR="00615E1E">
        <w:rPr>
          <w:color w:val="002060"/>
        </w:rPr>
        <w:t xml:space="preserve">Zones littorales sous </w:t>
      </w:r>
      <w:r w:rsidR="00615E1E" w:rsidRPr="00300C55">
        <w:rPr>
          <w:b/>
          <w:color w:val="002060"/>
        </w:rPr>
        <w:t>la menace des tsunamis</w:t>
      </w:r>
      <w:r w:rsidR="00615E1E">
        <w:rPr>
          <w:color w:val="002060"/>
        </w:rPr>
        <w:t> : les tsunamis générés par les tremblements de terre sous marins sont catastrophiques, celui de Fukushima-Sendai a fait 20 000 morts en 2011</w:t>
      </w:r>
      <w:r w:rsidR="00EE4974">
        <w:rPr>
          <w:color w:val="002060"/>
        </w:rPr>
        <w:t>. </w:t>
      </w:r>
    </w:p>
    <w:p w:rsidR="003B45E2" w:rsidRDefault="00AD776A" w:rsidP="007B4622">
      <w:pPr>
        <w:spacing w:after="0" w:line="240" w:lineRule="auto"/>
        <w:ind w:left="1410"/>
        <w:jc w:val="both"/>
        <w:rPr>
          <w:color w:val="002060"/>
        </w:rPr>
      </w:pPr>
      <w:r>
        <w:rPr>
          <w:noProof/>
          <w:color w:val="002060"/>
          <w:lang w:eastAsia="fr-F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8.6pt;margin-top:15.35pt;width:42.4pt;height:45.8pt;rotation:-37934719fd;flip:x y;z-index:251661312" coordsize="19411,21600" adj=",-1705051" path="wr-21600,,21600,43200,,,19411,12125nfewr-21600,,21600,43200,,,19411,12125l,21600nsxe" strokecolor="#1f3763 [1608]" strokeweight="2.25pt">
            <v:stroke endarrow="open"/>
            <v:path o:connectlocs="0,0;19411,12125;0,21600"/>
          </v:shape>
        </w:pict>
      </w:r>
      <w:r w:rsidR="00615E1E">
        <w:rPr>
          <w:color w:val="002060"/>
        </w:rPr>
        <w:t xml:space="preserve">Zones littorales sous </w:t>
      </w:r>
      <w:r w:rsidR="00615E1E" w:rsidRPr="00300C55">
        <w:rPr>
          <w:b/>
          <w:color w:val="002060"/>
        </w:rPr>
        <w:t>la menace de cyclones</w:t>
      </w:r>
      <w:r w:rsidR="00615E1E">
        <w:rPr>
          <w:color w:val="002060"/>
        </w:rPr>
        <w:t xml:space="preserve"> : les vents violents et les inondations </w:t>
      </w:r>
      <w:r w:rsidR="00677143">
        <w:rPr>
          <w:color w:val="002060"/>
        </w:rPr>
        <w:t>entraînent le déplacement de millions de personnes, entre 5 à 7 millions pour les plus puissants. Les maisons de bois traditionnelles sont bien adaptées aux secousses sismiques mais fragiles lors des glissements de terrain. </w:t>
      </w:r>
    </w:p>
    <w:p w:rsidR="007B4622" w:rsidRPr="00AA0BD9" w:rsidRDefault="007B4622" w:rsidP="007B4622">
      <w:pPr>
        <w:spacing w:after="0" w:line="240" w:lineRule="auto"/>
        <w:ind w:left="1410"/>
        <w:jc w:val="both"/>
        <w:rPr>
          <w:color w:val="002060"/>
        </w:rPr>
      </w:pPr>
    </w:p>
    <w:p w:rsidR="003B45E2" w:rsidRPr="003B45E2" w:rsidRDefault="00AD776A" w:rsidP="007B4622">
      <w:pPr>
        <w:spacing w:after="0" w:line="240" w:lineRule="auto"/>
        <w:jc w:val="both"/>
        <w:rPr>
          <w:b/>
          <w:color w:val="FF0000"/>
          <w:sz w:val="28"/>
          <w:szCs w:val="28"/>
        </w:rPr>
      </w:pPr>
      <w:r w:rsidRPr="00AD776A">
        <w:rPr>
          <w:noProof/>
          <w:lang w:eastAsia="fr-FR"/>
        </w:rPr>
        <w:pict>
          <v:group id="_x0000_s1040" style="position:absolute;left:0;text-align:left;margin-left:27.9pt;margin-top:25.45pt;width:17.1pt;height:17.1pt;z-index:251665408" coordorigin="3257,6441" coordsize="430,430">
            <v:oval id="_x0000_s1041" style="position:absolute;left:3257;top:6441;width:430;height:430" fillcolor="#f93" strokecolor="red"/>
            <v:group id="_x0000_s1042" style="position:absolute;left:3290;top:6493;width:363;height:355" coordorigin="10862,4260" coordsize="3508,3435">
              <v:shape id="_x0000_s1043" type="#_x0000_t19" style="position:absolute;left:10862;top:4260;width:1694;height:1485;flip:x" coordsize="21597,18442" adj="-3842106,-63136,,18442" path="wr-21600,-3158,21600,40042,11245,,21597,18079nfewr-21600,-3158,21600,40042,11245,,21597,18079l,18442nsxe" filled="t" fillcolor="black [3213]">
                <v:path o:connectlocs="11245,0;21597,18079;0,18442"/>
              </v:shape>
              <v:shape id="_x0000_s1044" type="#_x0000_t19" style="position:absolute;left:12781;top:4605;width:1694;height:1485;rotation:-7860607fd;flip:x" coordsize="21597,18442" adj="-3842106,-63136,,18442" path="wr-21600,-3158,21600,40042,11245,,21597,18079nfewr-21600,-3158,21600,40042,11245,,21597,18079l,18442nsxe" filled="t" fillcolor="black [3213]">
                <v:path o:connectlocs="11245,0;21597,18079;0,18442"/>
              </v:shape>
              <v:shape id="_x0000_s1045" type="#_x0000_t19" style="position:absolute;left:11521;top:6105;width:1694;height:1485;rotation:31417538fd;flip:x" coordsize="21597,18442" adj="-3842106,-63136,,18442" path="wr-21600,-3158,21600,40042,11245,,21597,18079nfewr-21600,-3158,21600,40042,11245,,21597,18079l,18442nsxe" filled="t" fillcolor="black [3213]">
                <v:path o:connectlocs="11245,0;21597,18079;0,18442"/>
              </v:shape>
              <v:group id="_x0000_s1046" style="position:absolute;left:12060;top:5205;width:1050;height:1050" coordorigin="12060,5205" coordsize="1050,1050">
                <v:oval id="_x0000_s1047" style="position:absolute;left:12060;top:5205;width:1050;height:1050" fillcolor="yellow" stroked="f"/>
                <v:oval id="_x0000_s1048" style="position:absolute;left:12225;top:5370;width:720;height:720" fillcolor="black [3213]"/>
              </v:group>
            </v:group>
          </v:group>
        </w:pict>
      </w:r>
      <w:r w:rsidR="003B45E2" w:rsidRPr="003B45E2">
        <w:rPr>
          <w:b/>
          <w:color w:val="FF0000"/>
          <w:sz w:val="28"/>
          <w:szCs w:val="28"/>
        </w:rPr>
        <w:t>II. Le Japon, sous la menace des risques industriels anciens et nombreux. </w:t>
      </w:r>
    </w:p>
    <w:p w:rsidR="003B45E2" w:rsidRDefault="00AD776A" w:rsidP="007B4622">
      <w:pPr>
        <w:spacing w:after="0" w:line="240" w:lineRule="auto"/>
        <w:ind w:left="1410"/>
        <w:jc w:val="both"/>
        <w:rPr>
          <w:color w:val="002060"/>
        </w:rPr>
      </w:pPr>
      <w:r w:rsidRPr="00AD776A">
        <w:rPr>
          <w:b/>
          <w:noProof/>
          <w:color w:val="002060"/>
          <w:lang w:eastAsia="fr-FR"/>
        </w:rPr>
        <w:pict>
          <v:group id="_x0000_s1031" style="position:absolute;left:0;text-align:left;margin-left:.75pt;margin-top:8.2pt;width:17.1pt;height:17.1pt;z-index:251664384" coordorigin="3257,6441" coordsize="430,430">
            <v:oval id="_x0000_s1032" style="position:absolute;left:3257;top:6441;width:430;height:430"/>
            <v:group id="_x0000_s1033" style="position:absolute;left:3290;top:6493;width:363;height:355" coordorigin="10862,4260" coordsize="3508,3435">
              <v:shape id="_x0000_s1034" type="#_x0000_t19" style="position:absolute;left:10862;top:4260;width:1694;height:1485;flip:x" coordsize="21597,18442" adj="-3842106,-63136,,18442" path="wr-21600,-3158,21600,40042,11245,,21597,18079nfewr-21600,-3158,21600,40042,11245,,21597,18079l,18442nsxe" filled="t" fillcolor="black [3213]">
                <v:path o:connectlocs="11245,0;21597,18079;0,18442"/>
              </v:shape>
              <v:shape id="_x0000_s1035" type="#_x0000_t19" style="position:absolute;left:12781;top:4605;width:1694;height:1485;rotation:-7860607fd;flip:x" coordsize="21597,18442" adj="-3842106,-63136,,18442" path="wr-21600,-3158,21600,40042,11245,,21597,18079nfewr-21600,-3158,21600,40042,11245,,21597,18079l,18442nsxe" filled="t" fillcolor="black [3213]">
                <v:path o:connectlocs="11245,0;21597,18079;0,18442"/>
              </v:shape>
              <v:shape id="_x0000_s1036" type="#_x0000_t19" style="position:absolute;left:11521;top:6105;width:1694;height:1485;rotation:31417538fd;flip:x" coordsize="21597,18442" adj="-3842106,-63136,,18442" path="wr-21600,-3158,21600,40042,11245,,21597,18079nfewr-21600,-3158,21600,40042,11245,,21597,18079l,18442nsxe" filled="t" fillcolor="black [3213]">
                <v:path o:connectlocs="11245,0;21597,18079;0,18442"/>
              </v:shape>
              <v:group id="_x0000_s1037" style="position:absolute;left:12060;top:5205;width:1050;height:1050" coordorigin="12060,5205" coordsize="1050,1050">
                <v:oval id="_x0000_s1038" style="position:absolute;left:12060;top:5205;width:1050;height:1050" fillcolor="yellow" stroked="f"/>
                <v:oval id="_x0000_s1039" style="position:absolute;left:12225;top:5370;width:720;height:720" fillcolor="black [3213]"/>
              </v:group>
            </v:group>
          </v:group>
        </w:pict>
      </w:r>
      <w:r w:rsidR="008516F4" w:rsidRPr="008B478A">
        <w:rPr>
          <w:b/>
          <w:color w:val="002060"/>
        </w:rPr>
        <w:t>Principales ce</w:t>
      </w:r>
      <w:r w:rsidR="00335D57" w:rsidRPr="008B478A">
        <w:rPr>
          <w:b/>
          <w:color w:val="002060"/>
        </w:rPr>
        <w:t>ntrales nucléaires en activités /</w:t>
      </w:r>
      <w:r w:rsidR="008516F4" w:rsidRPr="008B478A">
        <w:rPr>
          <w:b/>
          <w:color w:val="002060"/>
        </w:rPr>
        <w:t> Incidents nucléaires</w:t>
      </w:r>
      <w:r w:rsidR="008516F4">
        <w:rPr>
          <w:color w:val="002060"/>
        </w:rPr>
        <w:t> : deux bombardements atomiques à Hiroshima (6 août 1945) et Nagasaki (9 août 1945) et explosion nucléaire de Fukushima en 2011. </w:t>
      </w:r>
    </w:p>
    <w:p w:rsidR="003B45E2" w:rsidRDefault="00AD776A" w:rsidP="007B4622">
      <w:pPr>
        <w:spacing w:after="0" w:line="240" w:lineRule="auto"/>
        <w:ind w:left="1410"/>
        <w:jc w:val="both"/>
        <w:rPr>
          <w:color w:val="002060"/>
        </w:rPr>
      </w:pPr>
      <w:r w:rsidRPr="00AD776A">
        <w:rPr>
          <w:b/>
          <w:noProof/>
          <w:color w:val="FF0000"/>
          <w:sz w:val="28"/>
          <w:szCs w:val="28"/>
          <w:lang w:eastAsia="fr-FR"/>
        </w:rPr>
        <w:pict>
          <v:rect id="_x0000_s1049" style="position:absolute;left:0;text-align:left;margin-left:2.05pt;margin-top:4.95pt;width:44.25pt;height:16.3pt;z-index:251666432" fillcolor="#c5e0b3 [1305]"/>
        </w:pict>
      </w:r>
      <w:r w:rsidR="008516F4" w:rsidRPr="008B478A">
        <w:rPr>
          <w:b/>
          <w:color w:val="002060"/>
        </w:rPr>
        <w:t>Pollution des eaux littorales</w:t>
      </w:r>
      <w:r w:rsidR="008516F4">
        <w:rPr>
          <w:color w:val="002060"/>
        </w:rPr>
        <w:t xml:space="preserve"> due à une intense activité maritime marchande et industrielle, à la littoralisation et l’artificialisation des littoraux. Les rejets industriels et les dégazages des navires sont les deux causes premières de la pollution maritime. </w:t>
      </w:r>
    </w:p>
    <w:p w:rsidR="003B45E2" w:rsidRDefault="00AD776A" w:rsidP="007B4622">
      <w:pPr>
        <w:spacing w:after="0" w:line="240" w:lineRule="auto"/>
        <w:ind w:left="1410"/>
        <w:jc w:val="both"/>
        <w:rPr>
          <w:color w:val="002060"/>
        </w:rPr>
      </w:pPr>
      <w:r w:rsidRPr="00AD776A">
        <w:rPr>
          <w:b/>
          <w:noProof/>
          <w:color w:val="002060"/>
          <w:lang w:eastAsia="fr-FR"/>
        </w:rPr>
        <w:pict>
          <v:shapetype id="_x0000_t4" coordsize="21600,21600" o:spt="4" path="m10800,l,10800,10800,21600,21600,10800xe">
            <v:stroke joinstyle="miter"/>
            <v:path gradientshapeok="t" o:connecttype="rect" textboxrect="5400,5400,16200,16200"/>
          </v:shapetype>
          <v:shape id="_x0000_s1050" type="#_x0000_t4" style="position:absolute;left:0;text-align:left;margin-left:5.25pt;margin-top:8.25pt;width:15.05pt;height:15.05pt;z-index:251667456" fillcolor="#1f3763 [1608]" strokecolor="#1f3763 [1608]"/>
        </w:pict>
      </w:r>
      <w:r w:rsidR="008516F4" w:rsidRPr="008B478A">
        <w:rPr>
          <w:b/>
          <w:color w:val="002060"/>
        </w:rPr>
        <w:t xml:space="preserve">Principales </w:t>
      </w:r>
      <w:r w:rsidR="008516F4" w:rsidRPr="008B478A">
        <w:rPr>
          <w:b/>
          <w:color w:val="002060"/>
          <w:u w:val="single"/>
        </w:rPr>
        <w:t>Z</w:t>
      </w:r>
      <w:r w:rsidR="008516F4" w:rsidRPr="008B478A">
        <w:rPr>
          <w:b/>
          <w:color w:val="002060"/>
        </w:rPr>
        <w:t xml:space="preserve">ones </w:t>
      </w:r>
      <w:r w:rsidR="008516F4" w:rsidRPr="008B478A">
        <w:rPr>
          <w:b/>
          <w:color w:val="002060"/>
          <w:u w:val="single"/>
        </w:rPr>
        <w:t>I</w:t>
      </w:r>
      <w:r w:rsidR="008516F4" w:rsidRPr="008B478A">
        <w:rPr>
          <w:b/>
          <w:color w:val="002060"/>
        </w:rPr>
        <w:t>ndustrialo-</w:t>
      </w:r>
      <w:r w:rsidR="008516F4" w:rsidRPr="008B478A">
        <w:rPr>
          <w:b/>
          <w:color w:val="002060"/>
          <w:u w:val="single"/>
        </w:rPr>
        <w:t>p</w:t>
      </w:r>
      <w:r w:rsidR="008516F4" w:rsidRPr="008B478A">
        <w:rPr>
          <w:b/>
          <w:color w:val="002060"/>
        </w:rPr>
        <w:t>ortuaires</w:t>
      </w:r>
      <w:r w:rsidR="008516F4">
        <w:rPr>
          <w:color w:val="002060"/>
        </w:rPr>
        <w:t xml:space="preserve"> (ZIP) du Japon. L’activité économique dépendante des importations de matières premières et de produits semi-finis et des exportations de biens manufacturés est </w:t>
      </w:r>
      <w:proofErr w:type="spellStart"/>
      <w:r w:rsidR="008516F4">
        <w:rPr>
          <w:color w:val="002060"/>
        </w:rPr>
        <w:t>littoralisée</w:t>
      </w:r>
      <w:proofErr w:type="spellEnd"/>
      <w:r w:rsidR="008516F4">
        <w:rPr>
          <w:color w:val="002060"/>
        </w:rPr>
        <w:t>. La population se concentre à 80% sur la bande littorale de Sendai à Nagasaki. </w:t>
      </w:r>
    </w:p>
    <w:p w:rsidR="007B4622" w:rsidRDefault="00B66EC2" w:rsidP="007B4622">
      <w:pPr>
        <w:spacing w:after="0" w:line="240" w:lineRule="auto"/>
        <w:ind w:left="1410"/>
        <w:jc w:val="both"/>
        <w:rPr>
          <w:color w:val="002060"/>
        </w:rPr>
      </w:pPr>
      <w:r>
        <w:rPr>
          <w:b/>
          <w:noProof/>
          <w:color w:val="002060"/>
          <w:lang w:eastAsia="fr-FR"/>
        </w:rPr>
        <w:pict>
          <v:shape id="_x0000_s1082" style="position:absolute;left:0;text-align:left;margin-left:-3.75pt;margin-top:9.6pt;width:46.5pt;height:17.25pt;z-index:251691008;mso-position-horizontal-relative:text;mso-position-vertical-relative:text" coordsize="930,345" path="m15,hcl,345r930,l915,15,15,xe" fillcolor="#1f4d78 [1604]" stroked="f">
            <v:fill r:id="rId5" o:title="Sillage" color2="#bdd6ee [1300]" type="pattern"/>
            <v:path arrowok="t"/>
          </v:shape>
        </w:pict>
      </w:r>
      <w:r>
        <w:rPr>
          <w:color w:val="002060"/>
        </w:rPr>
        <w:t xml:space="preserve">Les principales zones de pisciculture du Japon. La pisciculture répond à la surexploitation des zones de pêches et </w:t>
      </w:r>
      <w:proofErr w:type="gramStart"/>
      <w:r>
        <w:rPr>
          <w:color w:val="002060"/>
        </w:rPr>
        <w:t>à la</w:t>
      </w:r>
      <w:proofErr w:type="gramEnd"/>
      <w:r>
        <w:rPr>
          <w:color w:val="002060"/>
        </w:rPr>
        <w:t xml:space="preserve"> quasi disparition de certaines espèces (Thon rouge du Pacifique par exemple). Mais cette activité génère elle aussi une forte pollution des eaux littorales et une modification de la biodiversité marine le long des côtes. </w:t>
      </w:r>
    </w:p>
    <w:p w:rsidR="00B66EC2" w:rsidRPr="008516F4" w:rsidRDefault="00B66EC2" w:rsidP="007B4622">
      <w:pPr>
        <w:spacing w:after="0" w:line="240" w:lineRule="auto"/>
        <w:ind w:left="1410"/>
        <w:jc w:val="both"/>
        <w:rPr>
          <w:color w:val="002060"/>
        </w:rPr>
      </w:pPr>
    </w:p>
    <w:p w:rsidR="003B45E2" w:rsidRPr="003B45E2" w:rsidRDefault="003B45E2" w:rsidP="007B4622">
      <w:pPr>
        <w:spacing w:after="0" w:line="240" w:lineRule="auto"/>
        <w:jc w:val="both"/>
        <w:rPr>
          <w:b/>
          <w:color w:val="FF0000"/>
          <w:sz w:val="28"/>
          <w:szCs w:val="28"/>
        </w:rPr>
      </w:pPr>
      <w:r w:rsidRPr="003B45E2">
        <w:rPr>
          <w:b/>
          <w:color w:val="FF0000"/>
          <w:sz w:val="28"/>
          <w:szCs w:val="28"/>
        </w:rPr>
        <w:t>III. Une forte exposition des populations aux risques. </w:t>
      </w:r>
    </w:p>
    <w:p w:rsidR="003B45E2" w:rsidRPr="008B478A" w:rsidRDefault="008B478A" w:rsidP="007B4622">
      <w:pPr>
        <w:spacing w:after="0" w:line="240" w:lineRule="auto"/>
        <w:jc w:val="both"/>
        <w:rPr>
          <w:b/>
          <w:color w:val="002060"/>
        </w:rPr>
      </w:pPr>
      <w:r w:rsidRPr="008B478A">
        <w:rPr>
          <w:b/>
          <w:color w:val="002060"/>
        </w:rPr>
        <w:t xml:space="preserve">Les principales agglomérations du Japon : </w:t>
      </w:r>
      <w:r w:rsidRPr="008B478A">
        <w:rPr>
          <w:color w:val="002060"/>
        </w:rPr>
        <w:t>(Population en millions)</w:t>
      </w:r>
    </w:p>
    <w:p w:rsidR="003B45E2" w:rsidRDefault="00AD776A" w:rsidP="007B4622">
      <w:pPr>
        <w:spacing w:after="0" w:line="240" w:lineRule="auto"/>
        <w:ind w:left="1416"/>
        <w:jc w:val="both"/>
        <w:rPr>
          <w:color w:val="002060"/>
        </w:rPr>
      </w:pPr>
      <w:r w:rsidRPr="00AD776A">
        <w:rPr>
          <w:b/>
          <w:noProof/>
          <w:color w:val="002060"/>
          <w:lang w:eastAsia="fr-FR"/>
        </w:rPr>
        <w:pict>
          <v:group id="_x0000_s1065" style="position:absolute;left:0;text-align:left;margin-left:-6.75pt;margin-top:.95pt;width:83.25pt;height:41.85pt;z-index:251682816" coordorigin="570,11450" coordsize="1665,837">
            <v:group id="_x0000_s1061" style="position:absolute;left:570;top:11603;width:1080;height:603" coordorigin="735,10953" coordsize="1080,603">
              <v:oval id="_x0000_s1054" style="position:absolute;left:1489;top:11388;width:168;height:168;mso-position-horizontal-relative:text;mso-position-vertical-relative:text" fillcolor="#f30" strokecolor="#c00000"/>
              <v:oval id="_x0000_s1055" style="position:absolute;left:735;top:10998;width:513;height:513;mso-position-horizontal-relative:text;mso-position-vertical-relative:text" fillcolor="white [3212]" strokecolor="#c00000" strokeweight="4.5pt">
                <v:stroke linestyle="thickThin"/>
              </v:oval>
              <v:oval id="_x0000_s1053" style="position:absolute;left:1077;top:11262;width:294;height:294;mso-position-horizontal-relative:text;mso-position-vertical-relative:text" fillcolor="#f30" strokecolor="#c00000"/>
              <v:shape id="_x0000_s1057" type="#_x0000_t32" style="position:absolute;left:967;top:10953;width:848;height:0" o:connectortype="straight" strokeweight="1pt">
                <v:stroke dashstyle="1 1" endcap="round"/>
              </v:shape>
              <v:shape id="_x0000_s1058" type="#_x0000_t32" style="position:absolute;left:1207;top:11253;width:608;height:0" o:connectortype="straight" strokeweight="1pt">
                <v:stroke dashstyle="1 1" endcap="round"/>
              </v:shape>
              <v:shape id="_x0000_s1059" type="#_x0000_t32" style="position:absolute;left:1552;top:11388;width:263;height:0" o:connectortype="straight" strokeweight="1pt">
                <v:stroke dashstyle="1 1" endcap="round"/>
              </v:shape>
            </v:group>
            <v:shape id="_x0000_s1062" type="#_x0000_t202" style="position:absolute;left:1560;top:11450;width:675;height:375" filled="f" stroked="f">
              <v:textbox>
                <w:txbxContent>
                  <w:p w:rsidR="00335D57" w:rsidRPr="00335D57" w:rsidRDefault="00335D57" w:rsidP="00335D57">
                    <w:pPr>
                      <w:rPr>
                        <w:sz w:val="16"/>
                        <w:szCs w:val="16"/>
                      </w:rPr>
                    </w:pPr>
                    <w:r w:rsidRPr="00335D57">
                      <w:rPr>
                        <w:sz w:val="16"/>
                        <w:szCs w:val="16"/>
                      </w:rPr>
                      <w:t>34</w:t>
                    </w:r>
                  </w:p>
                </w:txbxContent>
              </v:textbox>
            </v:shape>
            <v:shape id="_x0000_s1063" type="#_x0000_t202" style="position:absolute;left:1545;top:11735;width:555;height:375" filled="f" stroked="f">
              <v:textbox>
                <w:txbxContent>
                  <w:p w:rsidR="00335D57" w:rsidRPr="00335D57" w:rsidRDefault="00335D57" w:rsidP="00335D57">
                    <w:r>
                      <w:rPr>
                        <w:sz w:val="16"/>
                        <w:szCs w:val="16"/>
                      </w:rPr>
                      <w:t>≥20</w:t>
                    </w:r>
                  </w:p>
                </w:txbxContent>
              </v:textbox>
            </v:shape>
            <v:shape id="_x0000_s1064" type="#_x0000_t202" style="position:absolute;left:1545;top:11912;width:675;height:375" filled="f" stroked="f">
              <v:textbox>
                <w:txbxContent>
                  <w:p w:rsidR="00335D57" w:rsidRPr="00335D57" w:rsidRDefault="00335D57" w:rsidP="00335D57">
                    <w:pPr>
                      <w:rPr>
                        <w:sz w:val="16"/>
                        <w:szCs w:val="16"/>
                      </w:rPr>
                    </w:pPr>
                    <w:r>
                      <w:rPr>
                        <w:sz w:val="16"/>
                        <w:szCs w:val="16"/>
                      </w:rPr>
                      <w:t>≥2</w:t>
                    </w:r>
                  </w:p>
                </w:txbxContent>
              </v:textbox>
            </v:shape>
          </v:group>
        </w:pict>
      </w:r>
      <w:r w:rsidR="008B478A">
        <w:rPr>
          <w:color w:val="002060"/>
        </w:rPr>
        <w:t xml:space="preserve">La population japonaise (120 millions d’habitants) se concentre dans les </w:t>
      </w:r>
      <w:r w:rsidR="008B478A" w:rsidRPr="00CF1679">
        <w:rPr>
          <w:b/>
          <w:color w:val="002060"/>
        </w:rPr>
        <w:t>grandes agglomérations</w:t>
      </w:r>
      <w:r w:rsidR="008B478A">
        <w:rPr>
          <w:color w:val="002060"/>
        </w:rPr>
        <w:t xml:space="preserve"> littorales. Le pays est riche et développé (IDH de 0,909) et la population est essentiellement occupée dans les fonctions tertiaires et quaternaires. En cas d’alerte grave, les populations sont prévenues en moins d’une seconde par haut-parleurs, Internet, émissions de radio et de télévisions, alertes sur les Smartphones. </w:t>
      </w:r>
    </w:p>
    <w:p w:rsidR="007B4622" w:rsidRPr="008B478A" w:rsidRDefault="007B4622" w:rsidP="007B4622">
      <w:pPr>
        <w:spacing w:after="0" w:line="240" w:lineRule="auto"/>
        <w:ind w:left="1416"/>
        <w:jc w:val="both"/>
        <w:rPr>
          <w:color w:val="002060"/>
        </w:rPr>
      </w:pPr>
    </w:p>
    <w:p w:rsidR="003B45E2" w:rsidRPr="008B478A" w:rsidRDefault="008B478A" w:rsidP="007B4622">
      <w:pPr>
        <w:spacing w:after="0" w:line="240" w:lineRule="auto"/>
        <w:jc w:val="both"/>
        <w:rPr>
          <w:b/>
          <w:color w:val="002060"/>
        </w:rPr>
      </w:pPr>
      <w:r w:rsidRPr="008B478A">
        <w:rPr>
          <w:b/>
          <w:color w:val="002060"/>
        </w:rPr>
        <w:t>Une inégale densité : </w:t>
      </w:r>
      <w:r>
        <w:rPr>
          <w:b/>
          <w:color w:val="002060"/>
        </w:rPr>
        <w:t>(En nombre d’habitants au kilomètre carré, km²)</w:t>
      </w:r>
    </w:p>
    <w:p w:rsidR="003B45E2" w:rsidRPr="008B478A" w:rsidRDefault="00AD776A" w:rsidP="007B4622">
      <w:pPr>
        <w:spacing w:after="0" w:line="240" w:lineRule="auto"/>
        <w:ind w:left="1410"/>
        <w:jc w:val="both"/>
        <w:rPr>
          <w:color w:val="002060"/>
        </w:rPr>
      </w:pPr>
      <w:r>
        <w:rPr>
          <w:noProof/>
          <w:color w:val="002060"/>
          <w:lang w:eastAsia="fr-FR"/>
        </w:rPr>
        <w:pict>
          <v:rect id="_x0000_s1067" style="position:absolute;left:0;text-align:left;margin-left:1.3pt;margin-top:8.2pt;width:44.25pt;height:16.3pt;z-index:251683840" fillcolor="#ffd966 [1943]"/>
        </w:pict>
      </w:r>
      <w:r w:rsidR="008B478A">
        <w:rPr>
          <w:color w:val="002060"/>
        </w:rPr>
        <w:t>≥</w:t>
      </w:r>
      <w:r w:rsidR="007B4622">
        <w:rPr>
          <w:color w:val="002060"/>
        </w:rPr>
        <w:t> </w:t>
      </w:r>
      <w:r w:rsidR="008B478A">
        <w:rPr>
          <w:color w:val="002060"/>
        </w:rPr>
        <w:t>6</w:t>
      </w:r>
      <w:r w:rsidR="007B4622">
        <w:rPr>
          <w:color w:val="002060"/>
        </w:rPr>
        <w:t> </w:t>
      </w:r>
      <w:r w:rsidR="008B478A">
        <w:rPr>
          <w:color w:val="002060"/>
        </w:rPr>
        <w:t>000 hab. / km². </w:t>
      </w:r>
      <w:r w:rsidR="008B478A" w:rsidRPr="00CF1679">
        <w:rPr>
          <w:b/>
          <w:color w:val="002060"/>
        </w:rPr>
        <w:t>Banlieues des grandes agglomérations</w:t>
      </w:r>
      <w:r w:rsidR="008B478A">
        <w:rPr>
          <w:color w:val="002060"/>
        </w:rPr>
        <w:t>. En cas d’alerte, la population est prévenue en moins de 4 secondes. </w:t>
      </w:r>
    </w:p>
    <w:p w:rsidR="003B45E2" w:rsidRPr="008B478A" w:rsidRDefault="00AD776A" w:rsidP="007B4622">
      <w:pPr>
        <w:spacing w:after="0" w:line="240" w:lineRule="auto"/>
        <w:ind w:left="1410"/>
        <w:jc w:val="both"/>
        <w:rPr>
          <w:color w:val="002060"/>
        </w:rPr>
      </w:pPr>
      <w:r>
        <w:rPr>
          <w:noProof/>
          <w:color w:val="002060"/>
          <w:lang w:eastAsia="fr-FR"/>
        </w:rPr>
        <w:pict>
          <v:rect id="_x0000_s1068" style="position:absolute;left:0;text-align:left;margin-left:1.05pt;margin-top:14.55pt;width:44.25pt;height:16.3pt;z-index:251684864" fillcolor="#ffe599 [1303]"/>
        </w:pict>
      </w:r>
      <w:r w:rsidR="007B4622">
        <w:rPr>
          <w:color w:val="002060"/>
        </w:rPr>
        <w:t>≥ 1 000 hab. / km². </w:t>
      </w:r>
      <w:r w:rsidR="007B4622" w:rsidRPr="00CF1679">
        <w:rPr>
          <w:b/>
          <w:color w:val="002060"/>
        </w:rPr>
        <w:t>Mégalopole japonaise</w:t>
      </w:r>
      <w:r w:rsidR="007B4622">
        <w:rPr>
          <w:color w:val="002060"/>
        </w:rPr>
        <w:t xml:space="preserve"> en dehors des grandes agglomérations et des banlieues éloignées. La densité humaine est trois fois supérieure à la moyenne nationale japonaise (336 hab. / km²). En cas d’alerte, la population est prévenue en moins de 4 secondes. </w:t>
      </w:r>
    </w:p>
    <w:p w:rsidR="003B45E2" w:rsidRPr="008B478A" w:rsidRDefault="00AD776A" w:rsidP="007B4622">
      <w:pPr>
        <w:spacing w:after="0" w:line="240" w:lineRule="auto"/>
        <w:ind w:left="1410"/>
        <w:jc w:val="both"/>
        <w:rPr>
          <w:color w:val="002060"/>
        </w:rPr>
      </w:pPr>
      <w:r>
        <w:rPr>
          <w:noProof/>
          <w:color w:val="002060"/>
          <w:lang w:eastAsia="fr-FR"/>
        </w:rPr>
        <w:pict>
          <v:rect id="_x0000_s1069" style="position:absolute;left:0;text-align:left;margin-left:.75pt;margin-top:11.3pt;width:44.25pt;height:16.3pt;z-index:251685888" fillcolor="#ffe599 [1303]"/>
        </w:pict>
      </w:r>
      <w:r w:rsidR="007B4622">
        <w:rPr>
          <w:color w:val="002060"/>
        </w:rPr>
        <w:t>≤ 336 hab. / km². </w:t>
      </w:r>
      <w:r w:rsidR="007B4622" w:rsidRPr="00CF1679">
        <w:rPr>
          <w:b/>
          <w:color w:val="002060"/>
        </w:rPr>
        <w:t>Zones rurales, population des régions des milieux contraignants</w:t>
      </w:r>
      <w:r w:rsidR="007B4622">
        <w:rPr>
          <w:color w:val="002060"/>
        </w:rPr>
        <w:t xml:space="preserve"> (Grand Nord à </w:t>
      </w:r>
      <w:r w:rsidR="00B6006C">
        <w:rPr>
          <w:color w:val="002060"/>
        </w:rPr>
        <w:t>Hokkaido</w:t>
      </w:r>
      <w:r w:rsidR="007B4622">
        <w:rPr>
          <w:color w:val="002060"/>
        </w:rPr>
        <w:t>, petites îles du Pacifique…). En cas d’alerte, la population est prévenue en moins de 20 secondes.</w:t>
      </w:r>
    </w:p>
    <w:p w:rsidR="003B45E2" w:rsidRPr="001D1DCE" w:rsidRDefault="00AD776A" w:rsidP="001D1DCE">
      <w:pPr>
        <w:spacing w:after="0" w:line="240" w:lineRule="auto"/>
        <w:ind w:left="1410"/>
        <w:jc w:val="both"/>
        <w:rPr>
          <w:color w:val="002060"/>
        </w:rPr>
      </w:pPr>
      <w:r>
        <w:rPr>
          <w:noProof/>
          <w:color w:val="002060"/>
          <w:lang w:eastAsia="fr-FR"/>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72" type="#_x0000_t12" style="position:absolute;left:0;text-align:left;margin-left:7.7pt;margin-top:6.15pt;width:14.45pt;height:13.75pt;z-index:251687936;mso-position-horizontal-relative:text;mso-position-vertical-relative:text" strokecolor="#c00000" strokeweight="1.5pt"/>
        </w:pict>
      </w:r>
      <w:r w:rsidR="001D1DCE" w:rsidRPr="001D1DCE">
        <w:rPr>
          <w:color w:val="002060"/>
        </w:rPr>
        <w:t xml:space="preserve">Catastrophes </w:t>
      </w:r>
      <w:r w:rsidR="001D1DCE">
        <w:rPr>
          <w:color w:val="002060"/>
        </w:rPr>
        <w:t xml:space="preserve">lors desquelles </w:t>
      </w:r>
      <w:r w:rsidR="001D1DCE" w:rsidRPr="00CF1679">
        <w:rPr>
          <w:b/>
          <w:color w:val="002060"/>
        </w:rPr>
        <w:t>la corruption</w:t>
      </w:r>
      <w:r w:rsidR="001D1DCE">
        <w:rPr>
          <w:color w:val="002060"/>
        </w:rPr>
        <w:t xml:space="preserve"> des autorités et des acteurs économiques a aggravé les conséquences matérielles et humaines. </w:t>
      </w:r>
    </w:p>
    <w:p w:rsidR="003B45E2" w:rsidRPr="008B478A" w:rsidRDefault="00CF1679" w:rsidP="001D1DCE">
      <w:pPr>
        <w:spacing w:after="0" w:line="240" w:lineRule="auto"/>
        <w:ind w:left="1410"/>
        <w:jc w:val="both"/>
        <w:rPr>
          <w:color w:val="002060"/>
        </w:rPr>
      </w:pPr>
      <w:r>
        <w:rPr>
          <w:noProof/>
          <w:color w:val="002060"/>
          <w:lang w:eastAsia="fr-FR"/>
        </w:rPr>
        <w:pict>
          <v:shape id="_x0000_s1071" type="#_x0000_t19" style="position:absolute;left:0;text-align:left;margin-left:2.45pt;margin-top:7.9pt;width:19.35pt;height:11.4pt;rotation:-17224072fd;flip:x y;z-index:251686912;mso-position-horizontal-relative:text;mso-position-vertical-relative:text" coordsize="36741,21600" adj="2018240,9656919,18187,0" path="wr-3413,-21600,39787,21600,36741,11059,,11652nfewr-3413,-21600,39787,21600,36741,11059,,11652l18187,nsxe" strokecolor="red" strokeweight="2.25pt">
            <v:path o:connectlocs="36741,11059;0,11652;18187,0"/>
          </v:shape>
        </w:pict>
      </w:r>
      <w:r w:rsidR="001D1DCE" w:rsidRPr="00CF1679">
        <w:rPr>
          <w:b/>
          <w:color w:val="002060"/>
        </w:rPr>
        <w:t>Levées de terre</w:t>
      </w:r>
      <w:r w:rsidR="001D1DCE">
        <w:rPr>
          <w:color w:val="002060"/>
        </w:rPr>
        <w:t xml:space="preserve"> et ensemble de mesures (tertres, reconstruction des habitations sur des hauteurs) mises en place à Fukushima pour améliorer la protection des populations en cas de tsunamis. </w:t>
      </w:r>
    </w:p>
    <w:p w:rsidR="003B45E2" w:rsidRPr="008B478A" w:rsidRDefault="00AD776A" w:rsidP="007B4622">
      <w:pPr>
        <w:spacing w:after="0" w:line="240" w:lineRule="auto"/>
        <w:jc w:val="both"/>
        <w:rPr>
          <w:color w:val="002060"/>
        </w:rPr>
      </w:pPr>
      <w:r>
        <w:rPr>
          <w:noProof/>
          <w:color w:val="002060"/>
          <w:lang w:eastAsia="fr-FR"/>
        </w:rPr>
        <w:pict>
          <v:shape id="_x0000_s1074" type="#_x0000_t202" style="position:absolute;left:0;text-align:left;margin-left:-35.8pt;margin-top:30.55pt;width:595.3pt;height:32.55pt;z-index:251688960;mso-position-horizontal-relative:text;mso-position-vertical-relative:text" stroked="f">
            <v:textbox>
              <w:txbxContent>
                <w:p w:rsidR="00487460" w:rsidRPr="001506AA" w:rsidRDefault="00487460" w:rsidP="00C34D99">
                  <w:pPr>
                    <w:jc w:val="both"/>
                  </w:pPr>
                  <w:r w:rsidRPr="001506AA">
                    <w:rPr>
                      <w:color w:val="002060"/>
                      <w:sz w:val="20"/>
                      <w:szCs w:val="20"/>
                    </w:rPr>
                    <w:t>©</w:t>
                  </w:r>
                  <w:r w:rsidR="00C34D99">
                    <w:rPr>
                      <w:color w:val="002060"/>
                      <w:sz w:val="20"/>
                      <w:szCs w:val="20"/>
                    </w:rPr>
                    <w:t xml:space="preserve"> N</w:t>
                  </w:r>
                  <w:r>
                    <w:rPr>
                      <w:color w:val="002060"/>
                      <w:sz w:val="20"/>
                      <w:szCs w:val="20"/>
                    </w:rPr>
                    <w:t xml:space="preserve">umérisation et cartographie </w:t>
                  </w:r>
                  <w:r w:rsidRPr="001506AA">
                    <w:rPr>
                      <w:b/>
                      <w:color w:val="002060"/>
                      <w:sz w:val="20"/>
                      <w:szCs w:val="20"/>
                    </w:rPr>
                    <w:t>Souleymane</w:t>
                  </w:r>
                  <w:r>
                    <w:rPr>
                      <w:color w:val="002060"/>
                      <w:sz w:val="20"/>
                      <w:szCs w:val="20"/>
                    </w:rPr>
                    <w:t xml:space="preserve"> ALI YÉRO, </w:t>
                  </w:r>
                  <w:r w:rsidRPr="001506AA">
                    <w:rPr>
                      <w:b/>
                      <w:color w:val="002060"/>
                      <w:sz w:val="20"/>
                      <w:szCs w:val="20"/>
                    </w:rPr>
                    <w:t>Erwan</w:t>
                  </w:r>
                  <w:r>
                    <w:rPr>
                      <w:color w:val="002060"/>
                      <w:sz w:val="20"/>
                      <w:szCs w:val="20"/>
                    </w:rPr>
                    <w:t xml:space="preserve"> BERTHO &amp; </w:t>
                  </w:r>
                  <w:r w:rsidRPr="001506AA">
                    <w:rPr>
                      <w:b/>
                      <w:color w:val="002060"/>
                      <w:sz w:val="20"/>
                      <w:szCs w:val="20"/>
                    </w:rPr>
                    <w:t>Ronan</w:t>
                  </w:r>
                  <w:r>
                    <w:rPr>
                      <w:color w:val="002060"/>
                      <w:sz w:val="20"/>
                      <w:szCs w:val="20"/>
                    </w:rPr>
                    <w:t xml:space="preserve"> KOSSOU, Atelier de cartographie du Lycée La Fontaine, Niamey, Niger, (2019), </w:t>
                  </w:r>
                </w:p>
              </w:txbxContent>
            </v:textbox>
          </v:shape>
        </w:pict>
      </w:r>
    </w:p>
    <w:sectPr w:rsidR="003B45E2" w:rsidRPr="008B478A" w:rsidSect="003B45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B45E2"/>
    <w:rsid w:val="000E4488"/>
    <w:rsid w:val="001D1DCE"/>
    <w:rsid w:val="00300C55"/>
    <w:rsid w:val="00335D57"/>
    <w:rsid w:val="00352193"/>
    <w:rsid w:val="003B45E2"/>
    <w:rsid w:val="003B6079"/>
    <w:rsid w:val="00487460"/>
    <w:rsid w:val="004B45F8"/>
    <w:rsid w:val="004C4CAB"/>
    <w:rsid w:val="00615E1E"/>
    <w:rsid w:val="00654106"/>
    <w:rsid w:val="00677143"/>
    <w:rsid w:val="007B4622"/>
    <w:rsid w:val="008516F4"/>
    <w:rsid w:val="008B478A"/>
    <w:rsid w:val="00952203"/>
    <w:rsid w:val="00A21ABA"/>
    <w:rsid w:val="00A42A17"/>
    <w:rsid w:val="00AA0BD9"/>
    <w:rsid w:val="00AD776A"/>
    <w:rsid w:val="00B6006C"/>
    <w:rsid w:val="00B66EC2"/>
    <w:rsid w:val="00BB41C8"/>
    <w:rsid w:val="00C34D99"/>
    <w:rsid w:val="00C43567"/>
    <w:rsid w:val="00CF1679"/>
    <w:rsid w:val="00CF1A85"/>
    <w:rsid w:val="00D25DDB"/>
    <w:rsid w:val="00E12116"/>
    <w:rsid w:val="00EE4974"/>
    <w:rsid w:val="00F6717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9">
      <o:colormenu v:ext="edit" fillcolor="none [1303]" strokecolor="none"/>
    </o:shapedefaults>
    <o:shapelayout v:ext="edit">
      <o:idmap v:ext="edit" data="1"/>
      <o:rules v:ext="edit">
        <o:r id="V:Rule3" type="arc" idref="#_x0000_s1029"/>
        <o:r id="V:Rule4" type="arc" idref="#_x0000_s1043"/>
        <o:r id="V:Rule5" type="arc" idref="#_x0000_s1044"/>
        <o:r id="V:Rule6" type="arc" idref="#_x0000_s1045"/>
        <o:r id="V:Rule7" type="arc" idref="#_x0000_s1034"/>
        <o:r id="V:Rule8" type="arc" idref="#_x0000_s1035"/>
        <o:r id="V:Rule9" type="arc" idref="#_x0000_s1036"/>
        <o:r id="V:Rule13" type="arc" idref="#_x0000_s1071"/>
        <o:r id="V:Rule14" type="connector" idref="#_x0000_s1079"/>
        <o:r id="V:Rule15" type="connector" idref="#_x0000_s1080"/>
        <o:r id="V:Rule16" type="connector" idref="#_x0000_s1059"/>
        <o:r id="V:Rule17" type="connector" idref="#_x0000_s1058"/>
        <o:r id="V:Rule18" type="connector" idref="#_x0000_s1057"/>
        <o:r id="V:Rule19" type="connector" idref="#_x0000_s1087"/>
        <o:r id="V:Rule20"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5E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583</Words>
  <Characters>3211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2019-11-02T13:44:00Z</dcterms:created>
  <dcterms:modified xsi:type="dcterms:W3CDTF">2019-11-06T19:24:00Z</dcterms:modified>
</cp:coreProperties>
</file>