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7" w:rsidRPr="0083725D" w:rsidRDefault="00F008E7" w:rsidP="00F008E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12C1F">
        <w:rPr>
          <w:b/>
          <w:sz w:val="28"/>
          <w:szCs w:val="28"/>
          <w:vertAlign w:val="superscript"/>
        </w:rPr>
        <w:t>d</w:t>
      </w:r>
      <w:r w:rsidRPr="00AD36CF">
        <w:rPr>
          <w:b/>
          <w:sz w:val="28"/>
          <w:szCs w:val="28"/>
          <w:vertAlign w:val="superscript"/>
        </w:rPr>
        <w:t>e</w:t>
      </w:r>
      <w:r w:rsidR="001B7240">
        <w:rPr>
          <w:b/>
          <w:sz w:val="28"/>
          <w:szCs w:val="28"/>
        </w:rPr>
        <w:t> - </w:t>
      </w:r>
      <w:r w:rsidR="00691111">
        <w:rPr>
          <w:b/>
          <w:sz w:val="28"/>
          <w:szCs w:val="28"/>
        </w:rPr>
        <w:t>HISTOIRE - (</w:t>
      </w:r>
      <w:r w:rsidR="00B96CC0">
        <w:rPr>
          <w:b/>
          <w:sz w:val="28"/>
          <w:szCs w:val="28"/>
        </w:rPr>
        <w:t>6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 w:rsidR="007244EA">
        <w:rPr>
          <w:sz w:val="28"/>
          <w:szCs w:val="28"/>
        </w:rPr>
        <w:t>Rome. </w:t>
      </w:r>
      <w:r w:rsidR="00B96CC0">
        <w:rPr>
          <w:sz w:val="28"/>
          <w:szCs w:val="28"/>
        </w:rPr>
        <w:t>L’extension de la citoyenneté à l’ensemble de l’Empire</w:t>
      </w:r>
      <w:r w:rsidR="00AA0F18">
        <w:rPr>
          <w:sz w:val="28"/>
          <w:szCs w:val="28"/>
        </w:rPr>
        <w:t xml:space="preserve"> (+212)</w:t>
      </w:r>
      <w:r>
        <w:rPr>
          <w:sz w:val="28"/>
          <w:szCs w:val="28"/>
        </w:rPr>
        <w:t>.</w:t>
      </w:r>
    </w:p>
    <w:p w:rsidR="00F008E7" w:rsidRPr="00634FB8" w:rsidRDefault="000E5536" w:rsidP="00634FB8">
      <w:pPr>
        <w:pStyle w:val="Sansinterligne"/>
        <w:ind w:firstLine="708"/>
        <w:jc w:val="both"/>
      </w:pPr>
      <w:r w:rsidRPr="00634FB8">
        <w:t xml:space="preserve">En 212, l’empereur Caracalla </w:t>
      </w:r>
      <w:r w:rsidR="005C38E1" w:rsidRPr="00634FB8">
        <w:t xml:space="preserve">(+211/+217) </w:t>
      </w:r>
      <w:r w:rsidRPr="00634FB8">
        <w:t>accorde la citoyenneté romaine, la plus haute forme de citoyenneté, à tous les habitants libres</w:t>
      </w:r>
      <w:r w:rsidR="005C38E1" w:rsidRPr="00634FB8">
        <w:t xml:space="preserve"> de l’Empire</w:t>
      </w:r>
      <w:r w:rsidR="00F008E7" w:rsidRPr="00634FB8">
        <w:t>. </w:t>
      </w:r>
      <w:r w:rsidR="00FF7F13" w:rsidRPr="00634FB8">
        <w:t>L’ « Édit de Caracalla » apparaît comme une mesure qui révolutionne les relations politiques et sociales dans l’Empire romain. Quel est l’impact de cette décision impériale sur l’Empire ? </w:t>
      </w:r>
    </w:p>
    <w:p w:rsidR="00F008E7" w:rsidRPr="00634FB8" w:rsidRDefault="00F008E7" w:rsidP="00634FB8">
      <w:pPr>
        <w:pStyle w:val="Sansinterligne"/>
        <w:jc w:val="center"/>
        <w:rPr>
          <w:b/>
          <w:sz w:val="28"/>
          <w:szCs w:val="28"/>
        </w:rPr>
      </w:pPr>
      <w:r w:rsidRPr="00634FB8">
        <w:rPr>
          <w:b/>
          <w:sz w:val="28"/>
          <w:szCs w:val="28"/>
        </w:rPr>
        <w:t>*</w:t>
      </w:r>
      <w:r w:rsidRPr="00634FB8">
        <w:rPr>
          <w:b/>
          <w:sz w:val="28"/>
          <w:szCs w:val="28"/>
        </w:rPr>
        <w:tab/>
        <w:t>*</w:t>
      </w:r>
      <w:r w:rsidRPr="00634FB8">
        <w:rPr>
          <w:b/>
          <w:sz w:val="28"/>
          <w:szCs w:val="28"/>
        </w:rPr>
        <w:tab/>
        <w:t>*</w:t>
      </w:r>
    </w:p>
    <w:p w:rsidR="00F008E7" w:rsidRPr="00634FB8" w:rsidRDefault="00F008E7" w:rsidP="00634FB8">
      <w:pPr>
        <w:pStyle w:val="Sansinterligne"/>
        <w:jc w:val="both"/>
      </w:pPr>
      <w:r w:rsidRPr="00634FB8">
        <w:tab/>
      </w:r>
      <w:r w:rsidR="000C3BE4" w:rsidRPr="00634FB8">
        <w:t xml:space="preserve">La « constitution </w:t>
      </w:r>
      <w:proofErr w:type="spellStart"/>
      <w:r w:rsidR="000C3BE4" w:rsidRPr="00634FB8">
        <w:t>antoninienne</w:t>
      </w:r>
      <w:proofErr w:type="spellEnd"/>
      <w:r w:rsidR="000C3BE4" w:rsidRPr="00634FB8">
        <w:t> » également appelée « édit de Caracalla » est relativement bien connue dans ses principes généraux grâce à des auteurs classiques comme le juriste Ulpien (</w:t>
      </w:r>
      <w:r w:rsidR="000C3BE4" w:rsidRPr="00634FB8">
        <w:rPr>
          <w:i/>
        </w:rPr>
        <w:t>Institutes</w:t>
      </w:r>
      <w:r w:rsidR="000C3BE4" w:rsidRPr="00634FB8">
        <w:t>, début du III</w:t>
      </w:r>
      <w:r w:rsidR="000C3BE4" w:rsidRPr="00634FB8">
        <w:rPr>
          <w:vertAlign w:val="superscript"/>
        </w:rPr>
        <w:t>e</w:t>
      </w:r>
      <w:r w:rsidR="000C3BE4" w:rsidRPr="00634FB8">
        <w:t xml:space="preserve"> siècle, repris dans le </w:t>
      </w:r>
      <w:r w:rsidR="000C3BE4" w:rsidRPr="00634FB8">
        <w:rPr>
          <w:i/>
        </w:rPr>
        <w:t>Digeste</w:t>
      </w:r>
      <w:r w:rsidR="000C3BE4" w:rsidRPr="00634FB8">
        <w:t xml:space="preserve">, Livre I, paragraphe 5, </w:t>
      </w:r>
      <w:r w:rsidR="00CA71F0" w:rsidRPr="00634FB8">
        <w:t>+534</w:t>
      </w:r>
      <w:r w:rsidR="000C3BE4" w:rsidRPr="00634FB8">
        <w:t>), le pamphlétaire Dion Cassius (</w:t>
      </w:r>
      <w:r w:rsidR="000C3BE4" w:rsidRPr="00634FB8">
        <w:rPr>
          <w:i/>
        </w:rPr>
        <w:t>Histoire romaine</w:t>
      </w:r>
      <w:r w:rsidR="000C3BE4" w:rsidRPr="00634FB8">
        <w:t xml:space="preserve">, Livre LXXVII, paragraphe 9, </w:t>
      </w:r>
      <w:r w:rsidR="00CA71F0" w:rsidRPr="00634FB8">
        <w:t>+229), le théologien chrétien romain d’Afrique du Nord Saint Augustin (</w:t>
      </w:r>
      <w:r w:rsidR="00CA71F0" w:rsidRPr="00634FB8">
        <w:rPr>
          <w:i/>
        </w:rPr>
        <w:t>La Cité de Dieu</w:t>
      </w:r>
      <w:r w:rsidR="00CA71F0" w:rsidRPr="00634FB8">
        <w:t xml:space="preserve">, Livre V, paragraphe 17, +426), et un ouvrage anonyme, probablement issu des milieux sénatoriaux, </w:t>
      </w:r>
      <w:r w:rsidR="00CA71F0" w:rsidRPr="00634FB8">
        <w:rPr>
          <w:i/>
        </w:rPr>
        <w:t>Histoire Auguste</w:t>
      </w:r>
      <w:r w:rsidR="00CA71F0" w:rsidRPr="00634FB8">
        <w:t xml:space="preserve"> (« Vie de Caracalla », Livres IV et V, </w:t>
      </w:r>
      <w:r w:rsidR="005C38E1" w:rsidRPr="00634FB8">
        <w:t>fin du IV</w:t>
      </w:r>
      <w:r w:rsidR="005C38E1" w:rsidRPr="00634FB8">
        <w:rPr>
          <w:vertAlign w:val="superscript"/>
        </w:rPr>
        <w:t>e</w:t>
      </w:r>
      <w:r w:rsidR="005C38E1" w:rsidRPr="00634FB8">
        <w:t xml:space="preserve"> siècle, vers 390). Le document le plus ancien et le plus complet est le très endommagé </w:t>
      </w:r>
      <w:r w:rsidR="005C38E1" w:rsidRPr="00634FB8">
        <w:rPr>
          <w:i/>
        </w:rPr>
        <w:t>Papyrus Giessen</w:t>
      </w:r>
      <w:r w:rsidR="005C38E1" w:rsidRPr="00634FB8">
        <w:t xml:space="preserve"> n°40, un fragment de papyrus égyptien écrit en Grec, trouvé dans la ville d’</w:t>
      </w:r>
      <w:proofErr w:type="spellStart"/>
      <w:r w:rsidR="005C38E1" w:rsidRPr="00634FB8">
        <w:t>Heptakomia</w:t>
      </w:r>
      <w:proofErr w:type="spellEnd"/>
      <w:r w:rsidR="005C38E1" w:rsidRPr="00634FB8">
        <w:t>, et daté probablement de +215</w:t>
      </w:r>
      <w:r w:rsidR="00FB4B9B" w:rsidRPr="00634FB8">
        <w:t>, date d’un voyage de Caracalla à Alexandrie d’Égypte</w:t>
      </w:r>
      <w:r w:rsidR="005C38E1" w:rsidRPr="00634FB8">
        <w:t xml:space="preserve"> (</w:t>
      </w:r>
      <w:r w:rsidR="00E833CD" w:rsidRPr="00634FB8">
        <w:t xml:space="preserve">N° d’inventaire 15, Bibliothèque de l’Université allemande </w:t>
      </w:r>
      <w:r w:rsidR="00173316" w:rsidRPr="00634FB8">
        <w:t xml:space="preserve">Justus-Liebig, </w:t>
      </w:r>
      <w:r w:rsidR="00E833CD" w:rsidRPr="00634FB8">
        <w:t>de Giessen, Land de Hesse, Allemagne)</w:t>
      </w:r>
      <w:r w:rsidR="005C38E1" w:rsidRPr="00634FB8">
        <w:t>. </w:t>
      </w:r>
      <w:r w:rsidR="00E833CD" w:rsidRPr="00634FB8">
        <w:t>Dans cet édit, l’empereur Caracalla (211/217) de la dynastie des Sévère, octroie la citoyenneté romaine à tous les « Pérégrins », c’est-à-dire les hommes libres de l’empire qui n’étaient pas encore citoyens romains</w:t>
      </w:r>
      <w:r w:rsidR="00952883" w:rsidRPr="00634FB8">
        <w:t xml:space="preserve"> (« […] Je donne donc à tous […] le droit de cité romaine […] »)</w:t>
      </w:r>
      <w:r w:rsidR="00E833CD" w:rsidRPr="00634FB8">
        <w:t>. </w:t>
      </w:r>
    </w:p>
    <w:p w:rsidR="00F008E7" w:rsidRPr="00634FB8" w:rsidRDefault="00F008E7" w:rsidP="00634FB8">
      <w:pPr>
        <w:pStyle w:val="Sansinterligne"/>
        <w:jc w:val="center"/>
        <w:rPr>
          <w:b/>
          <w:sz w:val="28"/>
          <w:szCs w:val="28"/>
        </w:rPr>
      </w:pPr>
      <w:r w:rsidRPr="00634FB8">
        <w:rPr>
          <w:b/>
          <w:sz w:val="28"/>
          <w:szCs w:val="28"/>
        </w:rPr>
        <w:t>*</w:t>
      </w:r>
    </w:p>
    <w:p w:rsidR="00F008E7" w:rsidRPr="00634FB8" w:rsidRDefault="00F008E7" w:rsidP="00634FB8">
      <w:pPr>
        <w:pStyle w:val="Sansinterligne"/>
        <w:jc w:val="both"/>
      </w:pPr>
      <w:r w:rsidRPr="00634FB8">
        <w:tab/>
      </w:r>
      <w:r w:rsidR="00E833CD" w:rsidRPr="00634FB8">
        <w:t>Au nom de quelles valeurs l’empereur Caracalla octroie-t-il la citoyenneté aux habitants libres de l’Empire et à tous leurs descendants ? </w:t>
      </w:r>
      <w:r w:rsidR="008F05CC" w:rsidRPr="00634FB8">
        <w:t xml:space="preserve">Plusieurs motivations l’animent, selon le texte conservé sur le </w:t>
      </w:r>
      <w:r w:rsidR="008F05CC" w:rsidRPr="00634FB8">
        <w:rPr>
          <w:i/>
        </w:rPr>
        <w:t>Papyrus Giessen</w:t>
      </w:r>
      <w:r w:rsidR="008F05CC" w:rsidRPr="00634FB8">
        <w:t xml:space="preserve"> n°40. </w:t>
      </w:r>
      <w:r w:rsidR="00952883" w:rsidRPr="00634FB8">
        <w:t xml:space="preserve">C’est d’abord pour des raisons personnelles et religieuses que l’empereur motive sa décision : il lui faut remercier les dieux de lui avoir permis d’échapper au complot ourdi par son frère Geta, coempereur avec lui, que Caracalla vient d’assassiner (211), « […] je voudrais rendre grâces aux dieux […] pour m'avoir sauvé d'un tel complot. […] ». Geta condamné à la </w:t>
      </w:r>
      <w:proofErr w:type="spellStart"/>
      <w:r w:rsidR="00952883" w:rsidRPr="00634FB8">
        <w:rPr>
          <w:i/>
        </w:rPr>
        <w:t>damnatio</w:t>
      </w:r>
      <w:proofErr w:type="spellEnd"/>
      <w:r w:rsidR="00952883" w:rsidRPr="00634FB8">
        <w:rPr>
          <w:i/>
        </w:rPr>
        <w:t xml:space="preserve"> </w:t>
      </w:r>
      <w:proofErr w:type="spellStart"/>
      <w:r w:rsidR="00952883" w:rsidRPr="00634FB8">
        <w:rPr>
          <w:i/>
        </w:rPr>
        <w:t>memoriae</w:t>
      </w:r>
      <w:proofErr w:type="spellEnd"/>
      <w:r w:rsidR="00952883" w:rsidRPr="00634FB8">
        <w:t xml:space="preserve">, la damnation de la mémoire, n’est évidemment pas nommé, mais l’allusion est évidente. La visite de Caracalla à Alexandrie </w:t>
      </w:r>
      <w:r w:rsidR="00486B80" w:rsidRPr="00634FB8">
        <w:t xml:space="preserve">(215/216) </w:t>
      </w:r>
      <w:r w:rsidR="00952883" w:rsidRPr="00634FB8">
        <w:t>où il vient rendre hommage au tombeau d’Alexandre le Grand lui permet aussi de massacrer une partie des habitants de la ville, partisans de son frère défunt. </w:t>
      </w:r>
      <w:r w:rsidR="00486B80" w:rsidRPr="00634FB8">
        <w:t>Pour Caracalla, l’adjonction d’une foule énorme de nouveaux citoyens (« […] dizaines de milliers de fidèles […] ») permettra de répartir aussi plus équitablement les charges qui pèsent sur les citoyens romains (« […] Il se doit en effet que la multitude soit […] associée aux charges qui pèsent sur tous […] »). En effet, les pérégrins ne payaient pas l’impôt sur la succession, que Caracalla venait de porter de 5% à 10%. La motivation fiscale est très forte donc. Dion Cassius l’affirme : « […] C’est pour cela que tous les habitants de l’Empire furent, sous apparence d’honneur, mais en réalité pour fournir plus de revenus à l’empereur, attendu que les étrangers étaient exempts de la plupart de ces taxes, déclarés citoyens romains. […] » (</w:t>
      </w:r>
      <w:r w:rsidR="00486B80" w:rsidRPr="00634FB8">
        <w:rPr>
          <w:i/>
        </w:rPr>
        <w:t>Histoire romaine</w:t>
      </w:r>
      <w:r w:rsidR="00486B80" w:rsidRPr="00634FB8">
        <w:t xml:space="preserve">, Livre LXXVIII, </w:t>
      </w:r>
      <w:r w:rsidR="00486B80" w:rsidRPr="00634FB8">
        <w:rPr>
          <w:i/>
        </w:rPr>
        <w:t xml:space="preserve">op. </w:t>
      </w:r>
      <w:proofErr w:type="spellStart"/>
      <w:r w:rsidR="00486B80" w:rsidRPr="00634FB8">
        <w:rPr>
          <w:i/>
        </w:rPr>
        <w:t>cit</w:t>
      </w:r>
      <w:proofErr w:type="spellEnd"/>
      <w:r w:rsidR="00486B80" w:rsidRPr="00634FB8">
        <w:t>.). </w:t>
      </w:r>
    </w:p>
    <w:p w:rsidR="00E833CD" w:rsidRPr="00634FB8" w:rsidRDefault="00E833CD" w:rsidP="00634FB8">
      <w:pPr>
        <w:pStyle w:val="Sansinterligne"/>
        <w:jc w:val="center"/>
        <w:rPr>
          <w:b/>
          <w:sz w:val="28"/>
          <w:szCs w:val="28"/>
        </w:rPr>
      </w:pPr>
      <w:r w:rsidRPr="00634FB8">
        <w:rPr>
          <w:b/>
          <w:sz w:val="28"/>
          <w:szCs w:val="28"/>
        </w:rPr>
        <w:t>*</w:t>
      </w:r>
    </w:p>
    <w:p w:rsidR="00E833CD" w:rsidRPr="00634FB8" w:rsidRDefault="00E833CD" w:rsidP="00634FB8">
      <w:pPr>
        <w:pStyle w:val="Sansinterligne"/>
        <w:jc w:val="both"/>
      </w:pPr>
      <w:r w:rsidRPr="00634FB8">
        <w:tab/>
      </w:r>
      <w:r w:rsidR="00173316" w:rsidRPr="00634FB8">
        <w:t>Quelles sont les conséquences de cette extension de la citoyenneté à tous les habitants libres de l’Empire ? </w:t>
      </w:r>
      <w:r w:rsidR="00634FB8">
        <w:t>Caracalla rompt avec une division juridique et sociale héritée de la fondation même de Rome : d’un côté les citoyens de Rome, disposant de droits fondamentaux (Voter, être élu, pouvoir faire appel aux tribunaux</w:t>
      </w:r>
      <w:r w:rsidR="00FD6687" w:rsidRPr="00FD6687">
        <w:t xml:space="preserve"> </w:t>
      </w:r>
      <w:r w:rsidR="00FD6687">
        <w:t>romains et à l’empereur, ne pas subir de torture ni de peine infâmante comme la crucifixion</w:t>
      </w:r>
      <w:r w:rsidR="00634FB8">
        <w:t>, épouser une citoyenne romaine et léguer</w:t>
      </w:r>
      <w:r w:rsidR="00FD6687">
        <w:t xml:space="preserve"> ses biens à ses enfants</w:t>
      </w:r>
      <w:r w:rsidR="00634FB8">
        <w:t xml:space="preserve">…), </w:t>
      </w:r>
      <w:r w:rsidR="00FD6687">
        <w:t>de l’autre des habitants libres qui n’avaient que la nationalité locale. Pour Rome ce sont des étrangers (Pérégrins) que l’Empire tolère : ils payent tribut et sont administrés par des magistrats romains. Déjà en -89 Rome avait dû accorder la citoyenneté romaine aux habitants libres de l’Italie, à la suite d’une guerre avec ses propres alliés italiens (Guerre sociale). Progressivement, l’Empire s’est romanisé et les élites et leurs descendants ont acquis la citoyenneté romaine (En +48 pour les Éduens, « Tables claudiennes »). L’édit de Caracalla met donc fin à un ordre social et politique injuste, et contribue à créer une citoyenneté universelle dans son empire. Cette décision eut cependant des conséquences inégales selon les régions de l’Empire : dans les provinces très urbanisées, la citoyenneté fut très répandue. Dans les provinces des marges (Mésopotamie, Dacie, Bretagne</w:t>
      </w:r>
      <w:r w:rsidR="00F902A6">
        <w:t>) elle resta très rare. Mais dès le milieu du II</w:t>
      </w:r>
      <w:r w:rsidR="00F902A6" w:rsidRPr="00F902A6">
        <w:rPr>
          <w:vertAlign w:val="superscript"/>
        </w:rPr>
        <w:t>e</w:t>
      </w:r>
      <w:r w:rsidR="00F902A6">
        <w:t xml:space="preserve"> siècle</w:t>
      </w:r>
      <w:r w:rsidR="00FD6687">
        <w:t xml:space="preserve">, la division entre les </w:t>
      </w:r>
      <w:r w:rsidR="00F902A6">
        <w:t>citoyens romains s’était déjà faite</w:t>
      </w:r>
      <w:r w:rsidR="00FD6687">
        <w:t xml:space="preserve"> sur un critère financier : les plus riches (</w:t>
      </w:r>
      <w:proofErr w:type="spellStart"/>
      <w:r w:rsidR="00FD6687" w:rsidRPr="00FD6687">
        <w:rPr>
          <w:i/>
        </w:rPr>
        <w:t>Honestiores</w:t>
      </w:r>
      <w:proofErr w:type="spellEnd"/>
      <w:r w:rsidR="00FD6687">
        <w:t>) finirent rapidement par obtenir plus de droits que les plus humbles (</w:t>
      </w:r>
      <w:proofErr w:type="spellStart"/>
      <w:r w:rsidR="00FD6687" w:rsidRPr="00F902A6">
        <w:rPr>
          <w:i/>
        </w:rPr>
        <w:t>Humiliores</w:t>
      </w:r>
      <w:proofErr w:type="spellEnd"/>
      <w:r w:rsidR="00FD6687">
        <w:t>). </w:t>
      </w:r>
      <w:r w:rsidR="00346E1C">
        <w:t>La justice était dès avant l’édit de Caracalla très inégalitaire : après 212 cette division s’accentua. </w:t>
      </w:r>
    </w:p>
    <w:p w:rsidR="00F008E7" w:rsidRPr="00634FB8" w:rsidRDefault="00F008E7" w:rsidP="00634FB8">
      <w:pPr>
        <w:pStyle w:val="Sansinterligne"/>
        <w:jc w:val="center"/>
        <w:rPr>
          <w:b/>
          <w:sz w:val="28"/>
          <w:szCs w:val="28"/>
        </w:rPr>
      </w:pPr>
      <w:r w:rsidRPr="00634FB8">
        <w:rPr>
          <w:b/>
          <w:sz w:val="28"/>
          <w:szCs w:val="28"/>
        </w:rPr>
        <w:t>*</w:t>
      </w:r>
      <w:r w:rsidRPr="00634FB8">
        <w:rPr>
          <w:b/>
          <w:sz w:val="28"/>
          <w:szCs w:val="28"/>
        </w:rPr>
        <w:tab/>
        <w:t>*</w:t>
      </w:r>
      <w:r w:rsidRPr="00634FB8">
        <w:rPr>
          <w:b/>
          <w:sz w:val="28"/>
          <w:szCs w:val="28"/>
        </w:rPr>
        <w:tab/>
        <w:t>*</w:t>
      </w:r>
    </w:p>
    <w:p w:rsidR="00F008E7" w:rsidRDefault="00F902A6" w:rsidP="00735283">
      <w:pPr>
        <w:pStyle w:val="Sansinterligne"/>
        <w:jc w:val="both"/>
      </w:pPr>
      <w:r>
        <w:tab/>
      </w:r>
      <w:r w:rsidR="00735283">
        <w:t>L’édit de Caracalla prend acte d’une mutation profonde des rapports sociaux dans l’Empire : les divisions sociales sont désormais plus fondées sur les inégalités de richesses que sur le droit de cité romain, assez répandu dans les régions urbanisées de l’Empire</w:t>
      </w:r>
      <w:r w:rsidR="007710E1">
        <w:t>, et ce</w:t>
      </w:r>
      <w:r w:rsidR="00735283">
        <w:t xml:space="preserve"> avant même la proclamation de l’édit</w:t>
      </w:r>
      <w:r w:rsidR="007710E1">
        <w:t xml:space="preserve"> en 212</w:t>
      </w:r>
      <w:r w:rsidR="00735283">
        <w:t>. </w:t>
      </w:r>
    </w:p>
    <w:p w:rsidR="00735283" w:rsidRPr="00634FB8" w:rsidRDefault="00735283" w:rsidP="00735283">
      <w:pPr>
        <w:pStyle w:val="Sansinterligne"/>
        <w:jc w:val="both"/>
      </w:pPr>
    </w:p>
    <w:p w:rsidR="007E1E65" w:rsidRDefault="00FB4B9B" w:rsidP="00F008E7">
      <w:pPr>
        <w:jc w:val="both"/>
      </w:pPr>
      <w:r>
        <w:lastRenderedPageBreak/>
        <w:t>SOURCES :</w:t>
      </w:r>
    </w:p>
    <w:p w:rsidR="007A45AE" w:rsidRDefault="007A45AE" w:rsidP="00F008E7">
      <w:pPr>
        <w:jc w:val="both"/>
      </w:pPr>
      <w:r>
        <w:rPr>
          <w:b/>
        </w:rPr>
        <w:t xml:space="preserve">SARTRE </w:t>
      </w:r>
      <w:r>
        <w:t>(Maurice</w:t>
      </w:r>
      <w:r w:rsidRPr="002D0292">
        <w:t>), « </w:t>
      </w:r>
      <w:r>
        <w:t>212 Des Romains comme les autres</w:t>
      </w:r>
      <w:r w:rsidRPr="002D0292">
        <w:t xml:space="preserve">. », </w:t>
      </w:r>
      <w:r w:rsidRPr="002D0292">
        <w:rPr>
          <w:i/>
        </w:rPr>
        <w:t>in</w:t>
      </w:r>
      <w:r>
        <w:t>, pages 71 à 7</w:t>
      </w:r>
      <w:r w:rsidRPr="002D0292">
        <w:t>5, dans « De l’Empire à l’Empire. »,</w:t>
      </w:r>
      <w:r>
        <w:rPr>
          <w:b/>
        </w:rPr>
        <w:t xml:space="preserve"> BOUCHERON</w:t>
      </w:r>
      <w:r w:rsidRPr="00BE2AAD">
        <w:t xml:space="preserve"> (</w:t>
      </w:r>
      <w:r>
        <w:t>Patrick</w:t>
      </w:r>
      <w:r w:rsidRPr="00BE2AAD">
        <w:t>)</w:t>
      </w:r>
      <w:r>
        <w:t>, professeur au Collège de France, sous la direction de, et sous la coordination de Nicolas DELALANDE (Professeur associé au Centre d’Histoire de Sciences Po), Florian MAZEL (Professeur à l’Université Rennes 2), Yann POTIN (Chargé d’études documentaires aux Archives nationales) et Pierre SINGARAVÉLOU (Professeur à l’Université Paris I Panthéon-Sorbonne)</w:t>
      </w:r>
      <w:r w:rsidRPr="00BE2AAD">
        <w:t xml:space="preserve">, </w:t>
      </w:r>
      <w:r>
        <w:rPr>
          <w:i/>
        </w:rPr>
        <w:t xml:space="preserve">Histoire mondiale de la France, </w:t>
      </w:r>
      <w:r>
        <w:t>2017</w:t>
      </w:r>
      <w:r w:rsidRPr="004952CC">
        <w:t>, Paris, aux éditions du Seuil,</w:t>
      </w:r>
      <w:r>
        <w:t xml:space="preserve"> 790 pages. ISBN 978-2-02-133629-0</w:t>
      </w:r>
      <w:r w:rsidRPr="0066618E">
        <w:t>.</w:t>
      </w:r>
    </w:p>
    <w:p w:rsidR="002D5AB4" w:rsidRDefault="002D5AB4" w:rsidP="00F008E7">
      <w:pPr>
        <w:jc w:val="both"/>
      </w:pPr>
      <w:r w:rsidRPr="004B6356">
        <w:rPr>
          <w:b/>
        </w:rPr>
        <w:t>COLON</w:t>
      </w:r>
      <w:r>
        <w:t xml:space="preserve"> (David), professeur agrégé d’Histoire, Sciences Po Paris (Institut d’Études Politiques de Paris, IEP-Paris), sous la direction de, </w:t>
      </w:r>
      <w:r w:rsidRPr="004B6356">
        <w:rPr>
          <w:b/>
        </w:rPr>
        <w:t>MASANET</w:t>
      </w:r>
      <w:r>
        <w:t xml:space="preserve"> (Philippe), professeur agrégé d’Histoire au Lycée Henri-IV (Paris,), sous la coordination pédagogique de, </w:t>
      </w:r>
      <w:r w:rsidRPr="004B6356">
        <w:rPr>
          <w:b/>
        </w:rPr>
        <w:t>ROBINOT</w:t>
      </w:r>
      <w:r>
        <w:t xml:space="preserve"> (Claude), Professeur agrégé d’Histoire-Géographie, Académie de Versailles, responsable numérique, </w:t>
      </w:r>
      <w:r w:rsidRPr="004B6356">
        <w:rPr>
          <w:b/>
        </w:rPr>
        <w:t>AVEZOU</w:t>
      </w:r>
      <w:r>
        <w:t xml:space="preserve"> (Laurent), professeur agrégé d’Histoire au Lycée Pierre-de-Fermat à Toulouse, </w:t>
      </w:r>
      <w:r w:rsidRPr="004B6356">
        <w:rPr>
          <w:b/>
        </w:rPr>
        <w:t>BANDE</w:t>
      </w:r>
      <w:r>
        <w:t xml:space="preserve"> (Alexandre), professeur agrégé d’Histoire-Géographie au Lycée Janson-de-</w:t>
      </w:r>
      <w:proofErr w:type="spellStart"/>
      <w:r>
        <w:t>Sailly</w:t>
      </w:r>
      <w:proofErr w:type="spellEnd"/>
      <w:r>
        <w:t xml:space="preserve"> à Paris, </w:t>
      </w:r>
      <w:r w:rsidRPr="004B6356">
        <w:rPr>
          <w:b/>
        </w:rPr>
        <w:t>BECQUET</w:t>
      </w:r>
      <w:r>
        <w:t xml:space="preserve"> (Hélène), professeur agrégé d’Histoire au Lycée Edmond-Michelet d’Arpajon, </w:t>
      </w:r>
      <w:r w:rsidRPr="004B6356">
        <w:rPr>
          <w:b/>
        </w:rPr>
        <w:t>COVIAUX</w:t>
      </w:r>
      <w:r>
        <w:t xml:space="preserve"> (Stéphane), professeur agrégé d’Histoire au Lycée Camille-Guérin de Poitiers, </w:t>
      </w:r>
      <w:r w:rsidRPr="002B5021">
        <w:rPr>
          <w:b/>
        </w:rPr>
        <w:t>DAVIEAU</w:t>
      </w:r>
      <w:r>
        <w:t xml:space="preserve"> (Nicolas), professeur agrégé d’Histoire au Lycée Marie-Curie de Sceaux, </w:t>
      </w:r>
      <w:r w:rsidRPr="002B5021">
        <w:rPr>
          <w:b/>
        </w:rPr>
        <w:t>JACQUEMOND</w:t>
      </w:r>
      <w:r>
        <w:t xml:space="preserve"> (Louis-Pascal), </w:t>
      </w:r>
      <w:r w:rsidRPr="00A955F9">
        <w:rPr>
          <w:u w:val="single"/>
        </w:rPr>
        <w:t>I</w:t>
      </w:r>
      <w:r>
        <w:t>nspecteur d’</w:t>
      </w:r>
      <w:r w:rsidRPr="00A955F9">
        <w:rPr>
          <w:u w:val="single"/>
        </w:rPr>
        <w:t>A</w:t>
      </w:r>
      <w:r>
        <w:t xml:space="preserve">cadémie, </w:t>
      </w:r>
      <w:r w:rsidRPr="00A955F9">
        <w:rPr>
          <w:u w:val="single"/>
        </w:rPr>
        <w:t>I</w:t>
      </w:r>
      <w:r>
        <w:t xml:space="preserve">nspecteur </w:t>
      </w:r>
      <w:r w:rsidRPr="00A955F9">
        <w:rPr>
          <w:u w:val="single"/>
        </w:rPr>
        <w:t>P</w:t>
      </w:r>
      <w:r>
        <w:t xml:space="preserve">édagogique </w:t>
      </w:r>
      <w:r w:rsidRPr="00A955F9">
        <w:rPr>
          <w:u w:val="single"/>
        </w:rPr>
        <w:t>R</w:t>
      </w:r>
      <w:r>
        <w:t xml:space="preserve">égional (IA-IPR), Académie de Grenoble, </w:t>
      </w:r>
      <w:r w:rsidRPr="002B5021">
        <w:rPr>
          <w:b/>
        </w:rPr>
        <w:t>LAHAYE</w:t>
      </w:r>
      <w:r>
        <w:t xml:space="preserve"> (Matthieu), professeur agrégé d’Histoire au Lycée Mariette de Boulogne-sur-Mer, </w:t>
      </w:r>
      <w:r w:rsidRPr="002B5021">
        <w:rPr>
          <w:b/>
        </w:rPr>
        <w:t>LARRÈRE</w:t>
      </w:r>
      <w:r>
        <w:t xml:space="preserve"> (Mathilde), Maître de conférence, Université de Marne-la-Vallée, </w:t>
      </w:r>
      <w:r w:rsidRPr="002B5021">
        <w:rPr>
          <w:b/>
        </w:rPr>
        <w:t>LETAC</w:t>
      </w:r>
      <w:r>
        <w:t xml:space="preserve"> (Anne-Sophie), professeur agrégé d’Histoire au Lycée Victor-Hugo et au Lycée Molière de Paris, </w:t>
      </w:r>
      <w:r w:rsidRPr="002B5021">
        <w:rPr>
          <w:b/>
        </w:rPr>
        <w:t>LUEZ</w:t>
      </w:r>
      <w:r>
        <w:t xml:space="preserve"> (Philippe), Conservateur du patrimoine, </w:t>
      </w:r>
      <w:r w:rsidRPr="002B5021">
        <w:rPr>
          <w:b/>
        </w:rPr>
        <w:t>PICARD</w:t>
      </w:r>
      <w:r>
        <w:t xml:space="preserve"> (Jean-Philippe), professeur agrégé d’Histoire, université Paris I Panthéon-Sorbonne, </w:t>
      </w:r>
      <w:r w:rsidRPr="002B5021">
        <w:rPr>
          <w:b/>
        </w:rPr>
        <w:t>POUSSET</w:t>
      </w:r>
      <w:r>
        <w:t xml:space="preserve"> (Sophie), professeur agrégé d’Histoire, Académie de Versailles, </w:t>
      </w:r>
      <w:r w:rsidRPr="00CB4972">
        <w:rPr>
          <w:b/>
        </w:rPr>
        <w:t>PROFIZI</w:t>
      </w:r>
      <w:r>
        <w:t xml:space="preserve"> (Vanina), professeur agrégé d’Histoire, Lycée Richelieu à Rueil-Malmaison, </w:t>
      </w:r>
      <w:r w:rsidRPr="00CB4972">
        <w:rPr>
          <w:b/>
        </w:rPr>
        <w:t xml:space="preserve">ROBIN ROMERO </w:t>
      </w:r>
      <w:r>
        <w:t xml:space="preserve">(Isabelle), Maître de Conférences, Université Paris IV – Sorbonne, </w:t>
      </w:r>
      <w:r w:rsidRPr="00CB4972">
        <w:rPr>
          <w:b/>
        </w:rPr>
        <w:t>SAINT-PIERRE HOFFMANN</w:t>
      </w:r>
      <w:r>
        <w:t xml:space="preserve"> (Catherine), professeur agrégé d’Histoire au Collège Victor-Hugo d’Issy-les-Moulineaux, </w:t>
      </w:r>
      <w:r w:rsidRPr="00CB4972">
        <w:rPr>
          <w:b/>
        </w:rPr>
        <w:t>SOLIGNAT</w:t>
      </w:r>
      <w:r>
        <w:t xml:space="preserve"> (Anne-Valérie), professeur agrégé d’Histoire, ATER à l’Université de Rennes-II, </w:t>
      </w:r>
      <w:r w:rsidRPr="00870F6F">
        <w:rPr>
          <w:i/>
        </w:rPr>
        <w:t>Histoire Seconde. Programme de 2010</w:t>
      </w:r>
      <w:r>
        <w:t>, 2010, Paris, aux éditions Belin, 320 pages, ISBN 978-2-7011-5419-0. Et plus particulièrement les pages 70 et 71, consacrées à une étude sur l’édit de Caracalla. </w:t>
      </w:r>
    </w:p>
    <w:p w:rsidR="00FB4B9B" w:rsidRDefault="00FB4B9B" w:rsidP="00F008E7">
      <w:pPr>
        <w:jc w:val="both"/>
      </w:pPr>
      <w:hyperlink r:id="rId4" w:history="1">
        <w:r w:rsidRPr="00947D5B">
          <w:rPr>
            <w:rStyle w:val="Lienhypertexte"/>
          </w:rPr>
          <w:t>https://francearchives.fr/commemo/recueil-2012/39979</w:t>
        </w:r>
      </w:hyperlink>
    </w:p>
    <w:p w:rsidR="00FB4B9B" w:rsidRDefault="00FB4B9B" w:rsidP="00F008E7">
      <w:pPr>
        <w:jc w:val="both"/>
      </w:pPr>
      <w:hyperlink r:id="rId5" w:history="1">
        <w:r w:rsidRPr="00947D5B">
          <w:rPr>
            <w:rStyle w:val="Lienhypertexte"/>
          </w:rPr>
          <w:t>https://fr.wikipedia.org/wiki/%C3%89dit_de_Caracalla</w:t>
        </w:r>
      </w:hyperlink>
    </w:p>
    <w:p w:rsidR="00FB4B9B" w:rsidRDefault="00FB4B9B" w:rsidP="00F008E7">
      <w:pPr>
        <w:jc w:val="both"/>
      </w:pPr>
    </w:p>
    <w:sectPr w:rsidR="00FB4B9B" w:rsidSect="004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8E7"/>
    <w:rsid w:val="00057822"/>
    <w:rsid w:val="000C3BE4"/>
    <w:rsid w:val="000E5536"/>
    <w:rsid w:val="00173316"/>
    <w:rsid w:val="001B7240"/>
    <w:rsid w:val="002709DF"/>
    <w:rsid w:val="002D5AB4"/>
    <w:rsid w:val="00346E1C"/>
    <w:rsid w:val="00486B80"/>
    <w:rsid w:val="004C4CAB"/>
    <w:rsid w:val="005C38E1"/>
    <w:rsid w:val="005D4426"/>
    <w:rsid w:val="00634FB8"/>
    <w:rsid w:val="00691111"/>
    <w:rsid w:val="006A4A32"/>
    <w:rsid w:val="007244EA"/>
    <w:rsid w:val="00735283"/>
    <w:rsid w:val="007573E2"/>
    <w:rsid w:val="007710E1"/>
    <w:rsid w:val="007A45AE"/>
    <w:rsid w:val="008F05CC"/>
    <w:rsid w:val="00952883"/>
    <w:rsid w:val="00A1470C"/>
    <w:rsid w:val="00A2620E"/>
    <w:rsid w:val="00AA0F18"/>
    <w:rsid w:val="00B96CC0"/>
    <w:rsid w:val="00C43567"/>
    <w:rsid w:val="00CA71F0"/>
    <w:rsid w:val="00E833CD"/>
    <w:rsid w:val="00F008E7"/>
    <w:rsid w:val="00F902A6"/>
    <w:rsid w:val="00FB4B9B"/>
    <w:rsid w:val="00FD6687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4B9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634F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%C3%89dit_de_Caracalla" TargetMode="External"/><Relationship Id="rId4" Type="http://schemas.openxmlformats.org/officeDocument/2006/relationships/hyperlink" Target="https://francearchives.fr/commemo/recueil-2012/399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1265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2017-07-06T21:48:00Z</dcterms:created>
  <dcterms:modified xsi:type="dcterms:W3CDTF">2017-11-07T18:18:00Z</dcterms:modified>
</cp:coreProperties>
</file>