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7" w:rsidRPr="0083725D" w:rsidRDefault="00F008E7" w:rsidP="00B82625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12C1F">
        <w:rPr>
          <w:b/>
          <w:sz w:val="28"/>
          <w:szCs w:val="28"/>
          <w:vertAlign w:val="superscript"/>
        </w:rPr>
        <w:t>d</w:t>
      </w:r>
      <w:r w:rsidRPr="00AD36CF">
        <w:rPr>
          <w:b/>
          <w:sz w:val="28"/>
          <w:szCs w:val="28"/>
          <w:vertAlign w:val="superscript"/>
        </w:rPr>
        <w:t>e</w:t>
      </w:r>
      <w:r w:rsidR="001B7240">
        <w:rPr>
          <w:b/>
          <w:sz w:val="28"/>
          <w:szCs w:val="28"/>
        </w:rPr>
        <w:t> - </w:t>
      </w:r>
      <w:r w:rsidR="00691111">
        <w:rPr>
          <w:b/>
          <w:sz w:val="28"/>
          <w:szCs w:val="28"/>
        </w:rPr>
        <w:t>HISTOIRE - (</w:t>
      </w:r>
      <w:r w:rsidR="009949A7">
        <w:rPr>
          <w:b/>
          <w:sz w:val="28"/>
          <w:szCs w:val="28"/>
        </w:rPr>
        <w:t>5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 w:rsidR="009949A7">
        <w:rPr>
          <w:sz w:val="28"/>
          <w:szCs w:val="28"/>
        </w:rPr>
        <w:t>Rome. L’extension de la citoyenneté à la Gaule romaine</w:t>
      </w:r>
      <w:r w:rsidR="006046BF">
        <w:rPr>
          <w:sz w:val="28"/>
          <w:szCs w:val="28"/>
        </w:rPr>
        <w:t xml:space="preserve"> (+</w:t>
      </w:r>
      <w:r w:rsidR="003B32CB">
        <w:rPr>
          <w:sz w:val="28"/>
          <w:szCs w:val="28"/>
        </w:rPr>
        <w:t> </w:t>
      </w:r>
      <w:r w:rsidR="00F55D70">
        <w:rPr>
          <w:sz w:val="28"/>
          <w:szCs w:val="28"/>
        </w:rPr>
        <w:t>48)</w:t>
      </w:r>
      <w:r>
        <w:rPr>
          <w:sz w:val="28"/>
          <w:szCs w:val="28"/>
        </w:rPr>
        <w:t>.</w:t>
      </w:r>
    </w:p>
    <w:p w:rsidR="00F008E7" w:rsidRPr="007C60C3" w:rsidRDefault="007C60C3" w:rsidP="00B82625">
      <w:pPr>
        <w:spacing w:line="240" w:lineRule="auto"/>
        <w:ind w:firstLine="708"/>
        <w:jc w:val="both"/>
      </w:pPr>
      <w:r>
        <w:t> </w:t>
      </w:r>
      <w:r w:rsidR="00F008E7" w:rsidRPr="007C60C3">
        <w:t> </w:t>
      </w:r>
      <w:r w:rsidR="007B36FC">
        <w:t>En 48 de l‘ère commune, le Sénat romain accorde au peuple gaulois des Éduens, un des plus anciens peuples alliés de Rome</w:t>
      </w:r>
      <w:r w:rsidR="00753EBB">
        <w:t xml:space="preserve">, le </w:t>
      </w:r>
      <w:r w:rsidR="002741C1">
        <w:t>droit de siéger au Sénat</w:t>
      </w:r>
      <w:r w:rsidR="007B36FC">
        <w:t>. </w:t>
      </w:r>
      <w:r w:rsidR="00A14F2D">
        <w:t>U</w:t>
      </w:r>
      <w:r w:rsidR="00753EBB">
        <w:t>n siècle après la chute d’Alésia, les élites gauloises sont romanisées et intégrées au fonctionnement de l’Empire romain. Comment fonctionne cette rapide intégration ? </w:t>
      </w:r>
    </w:p>
    <w:p w:rsidR="00F008E7" w:rsidRPr="005E61B8" w:rsidRDefault="00F008E7" w:rsidP="00B82625">
      <w:pPr>
        <w:spacing w:line="240" w:lineRule="auto"/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F008E7" w:rsidRDefault="00F008E7" w:rsidP="00B82625">
      <w:pPr>
        <w:spacing w:line="240" w:lineRule="auto"/>
        <w:jc w:val="both"/>
      </w:pPr>
      <w:r>
        <w:tab/>
      </w:r>
      <w:r w:rsidR="007B36FC">
        <w:t>En 1528, sur le sommet de la Croix-Rousse à Lyon, une table de bronze couvertes d’inscriptions latines et pesant près de 220 kilogrammes est mise à jour. </w:t>
      </w:r>
      <w:r w:rsidR="00A14F2D">
        <w:t>Ce sont les « T</w:t>
      </w:r>
      <w:r w:rsidR="00185869">
        <w:t>ables claudiennes ». </w:t>
      </w:r>
      <w:r w:rsidR="007B36FC">
        <w:t xml:space="preserve">Le texte est incomplet </w:t>
      </w:r>
      <w:r w:rsidR="00753EBB">
        <w:t>car il ne reste que la moitié inférieure d</w:t>
      </w:r>
      <w:r w:rsidR="003E3FBB">
        <w:t>e l’inscription</w:t>
      </w:r>
      <w:r w:rsidR="00753EBB">
        <w:t xml:space="preserve"> écrit</w:t>
      </w:r>
      <w:r w:rsidR="003E3FBB">
        <w:t>e</w:t>
      </w:r>
      <w:r w:rsidR="00753EBB">
        <w:t xml:space="preserve"> </w:t>
      </w:r>
      <w:r w:rsidR="00F55D70">
        <w:t>sur</w:t>
      </w:r>
      <w:r w:rsidR="00753EBB">
        <w:t xml:space="preserve"> deux colonnes. M</w:t>
      </w:r>
      <w:r w:rsidR="007B36FC">
        <w:t>ais il s’agit de la moitié du discours prononcé par l’empereur romain Claude, en 48 de l’ère commune,</w:t>
      </w:r>
      <w:r w:rsidR="00753EBB">
        <w:t xml:space="preserve"> lorsqu’il accorda le </w:t>
      </w:r>
      <w:proofErr w:type="spellStart"/>
      <w:r w:rsidR="00753EBB" w:rsidRPr="00753EBB">
        <w:rPr>
          <w:i/>
        </w:rPr>
        <w:t>ius</w:t>
      </w:r>
      <w:proofErr w:type="spellEnd"/>
      <w:r w:rsidR="00753EBB" w:rsidRPr="00753EBB">
        <w:rPr>
          <w:i/>
        </w:rPr>
        <w:t xml:space="preserve"> </w:t>
      </w:r>
      <w:proofErr w:type="spellStart"/>
      <w:r w:rsidR="00753EBB" w:rsidRPr="00753EBB">
        <w:rPr>
          <w:i/>
        </w:rPr>
        <w:t>adipiscendorum</w:t>
      </w:r>
      <w:proofErr w:type="spellEnd"/>
      <w:r w:rsidR="00753EBB" w:rsidRPr="00753EBB">
        <w:rPr>
          <w:i/>
        </w:rPr>
        <w:t xml:space="preserve"> in </w:t>
      </w:r>
      <w:proofErr w:type="spellStart"/>
      <w:r w:rsidR="00753EBB" w:rsidRPr="00753EBB">
        <w:rPr>
          <w:i/>
        </w:rPr>
        <w:t>Urbe</w:t>
      </w:r>
      <w:proofErr w:type="spellEnd"/>
      <w:r w:rsidR="00753EBB" w:rsidRPr="00753EBB">
        <w:rPr>
          <w:i/>
        </w:rPr>
        <w:t xml:space="preserve"> </w:t>
      </w:r>
      <w:proofErr w:type="spellStart"/>
      <w:r w:rsidR="00753EBB" w:rsidRPr="00753EBB">
        <w:rPr>
          <w:i/>
        </w:rPr>
        <w:t>honorum</w:t>
      </w:r>
      <w:proofErr w:type="spellEnd"/>
      <w:r w:rsidR="007B36FC">
        <w:t xml:space="preserve"> aux Éduens</w:t>
      </w:r>
      <w:r w:rsidR="00753EBB">
        <w:t>, c’est-à-dire</w:t>
      </w:r>
      <w:r w:rsidR="003E3FBB">
        <w:t>,</w:t>
      </w:r>
      <w:r w:rsidR="00753EBB">
        <w:t xml:space="preserve"> non pas la citoyenneté romaine qui leur est </w:t>
      </w:r>
      <w:r w:rsidR="00B82625">
        <w:t xml:space="preserve">peut-être </w:t>
      </w:r>
      <w:r w:rsidR="00753EBB">
        <w:t>déjà accordée depuis longtemps, mais le droit de siéger au Sénat</w:t>
      </w:r>
      <w:r w:rsidR="00185869">
        <w:t>. </w:t>
      </w:r>
      <w:r w:rsidR="007B36FC">
        <w:t>Tacite, histori</w:t>
      </w:r>
      <w:r w:rsidR="00753EBB">
        <w:t>en romain</w:t>
      </w:r>
      <w:r w:rsidR="008C2867">
        <w:t xml:space="preserve"> originaire de Gaule narbonnaise</w:t>
      </w:r>
      <w:r w:rsidR="007B36FC">
        <w:t xml:space="preserve">, a retranscrit </w:t>
      </w:r>
      <w:r w:rsidR="00753EBB">
        <w:t>l’intégralité du</w:t>
      </w:r>
      <w:r w:rsidR="007B36FC">
        <w:t xml:space="preserve"> discours impérial dans son ouvrage </w:t>
      </w:r>
      <w:r w:rsidR="007B36FC" w:rsidRPr="007B36FC">
        <w:rPr>
          <w:i/>
        </w:rPr>
        <w:t>Les Annales</w:t>
      </w:r>
      <w:r w:rsidR="007B36FC">
        <w:t xml:space="preserve"> (Livre XI</w:t>
      </w:r>
      <w:r w:rsidR="00753EBB">
        <w:t xml:space="preserve">, </w:t>
      </w:r>
      <w:r w:rsidR="008C2867">
        <w:t xml:space="preserve">paragraphes 23 à 25, </w:t>
      </w:r>
      <w:r w:rsidR="00753EBB">
        <w:t>II</w:t>
      </w:r>
      <w:r w:rsidR="00753EBB" w:rsidRPr="00753EBB">
        <w:rPr>
          <w:vertAlign w:val="superscript"/>
        </w:rPr>
        <w:t>e</w:t>
      </w:r>
      <w:r w:rsidR="00753EBB">
        <w:t xml:space="preserve"> siècle</w:t>
      </w:r>
      <w:r w:rsidR="008C2867">
        <w:t xml:space="preserve">, </w:t>
      </w:r>
      <w:proofErr w:type="spellStart"/>
      <w:r w:rsidR="008C2867" w:rsidRPr="008C2867">
        <w:rPr>
          <w:i/>
        </w:rPr>
        <w:t>circa</w:t>
      </w:r>
      <w:proofErr w:type="spellEnd"/>
      <w:r w:rsidR="008C2867">
        <w:t xml:space="preserve"> 120</w:t>
      </w:r>
      <w:r w:rsidR="007B36FC">
        <w:t>)</w:t>
      </w:r>
      <w:r w:rsidR="00753EBB">
        <w:t xml:space="preserve"> ainsi que l’ensemble du processus</w:t>
      </w:r>
      <w:r w:rsidR="00260F35">
        <w:t xml:space="preserve"> qui conduit à satisfaire la demande des Gaulois</w:t>
      </w:r>
      <w:r w:rsidR="00753EBB">
        <w:t>, de la venue de la délégation gauloise à sa réception au Sénat de Rome</w:t>
      </w:r>
      <w:r w:rsidR="006046BF">
        <w:t>,</w:t>
      </w:r>
      <w:r w:rsidR="00753EBB">
        <w:t xml:space="preserve"> et les polémique</w:t>
      </w:r>
      <w:r w:rsidR="00185869">
        <w:t>s</w:t>
      </w:r>
      <w:r w:rsidR="00753EBB">
        <w:t xml:space="preserve"> suscitée par cet événement</w:t>
      </w:r>
      <w:r w:rsidR="007B36FC">
        <w:t>. </w:t>
      </w:r>
      <w:r w:rsidR="00753EBB">
        <w:t>L</w:t>
      </w:r>
      <w:r w:rsidR="00260F35">
        <w:t xml:space="preserve">a délégation gauloise </w:t>
      </w:r>
      <w:r w:rsidR="00855C96">
        <w:t>est partie de Lyon, capitale des trois Gaules romaines</w:t>
      </w:r>
      <w:r w:rsidR="008C2867">
        <w:t>, la Belgique</w:t>
      </w:r>
      <w:r w:rsidR="00855C96">
        <w:t>, l’Aquitaine et la Lyonnaise :</w:t>
      </w:r>
      <w:r w:rsidR="008C2867">
        <w:t> </w:t>
      </w:r>
      <w:r w:rsidR="00855C96">
        <w:t>s’y trouve le Sanctuaire des Trois Gaules où sera ultérieurement déposé le discours</w:t>
      </w:r>
      <w:r w:rsidR="008C2867">
        <w:t xml:space="preserve"> de Claude gravé sur le bronze.</w:t>
      </w:r>
      <w:r w:rsidR="00855C96">
        <w:t> </w:t>
      </w:r>
    </w:p>
    <w:p w:rsidR="00F008E7" w:rsidRPr="005E61B8" w:rsidRDefault="00F008E7" w:rsidP="00B82625">
      <w:pPr>
        <w:spacing w:line="240" w:lineRule="auto"/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</w:p>
    <w:p w:rsidR="00F008E7" w:rsidRDefault="00F008E7" w:rsidP="00B82625">
      <w:pPr>
        <w:spacing w:line="240" w:lineRule="auto"/>
        <w:jc w:val="both"/>
      </w:pPr>
      <w:r>
        <w:tab/>
      </w:r>
      <w:r w:rsidR="003E3FBB">
        <w:t>Claude</w:t>
      </w:r>
      <w:r w:rsidR="006046BF">
        <w:t>,</w:t>
      </w:r>
      <w:r w:rsidR="003E3FBB">
        <w:t xml:space="preserve"> en accordant aux élites des Éduens le droit de siéger au Sénat</w:t>
      </w:r>
      <w:r w:rsidR="006046BF">
        <w:t>,</w:t>
      </w:r>
      <w:r w:rsidR="003E3FBB">
        <w:t xml:space="preserve"> poursuit une politique initiée par Jules César, et continuée par Octave et Tibère, d’</w:t>
      </w:r>
      <w:r w:rsidR="006046BF">
        <w:t>intégration</w:t>
      </w:r>
      <w:r w:rsidR="003E3FBB">
        <w:t xml:space="preserve"> les élites conquises aux processus de distinction et de décision de l’Empire. </w:t>
      </w:r>
      <w:r w:rsidR="00FA5373">
        <w:t>Au nom de quelles valeurs se réclame Claude pour accorder ainsi la citoyenneté romaine aux peuples qui résident en dehors de l’Italie ? </w:t>
      </w:r>
      <w:r w:rsidR="009D1EFA">
        <w:t>Claude dans son discours aux « Pères conscrits » (Les sénateurs) prend en exemple les sénateurs issus de la Gaule Narbonnaise et parfaitement romanisés (D</w:t>
      </w:r>
      <w:r w:rsidR="00B82625">
        <w:t>ont</w:t>
      </w:r>
      <w:r w:rsidR="009D1EFA">
        <w:t xml:space="preserve"> le sénateur </w:t>
      </w:r>
      <w:proofErr w:type="spellStart"/>
      <w:r w:rsidR="009D1EFA">
        <w:t>Persicus</w:t>
      </w:r>
      <w:proofErr w:type="spellEnd"/>
      <w:r w:rsidR="00B82625">
        <w:t xml:space="preserve"> « […] homme de race noble et mon ami […] »</w:t>
      </w:r>
      <w:r w:rsidR="009D1EFA">
        <w:t xml:space="preserve">), et ceux issus de Lyon, la capitale des Gaules : « […] Nous ne regrettons pas d’avoir des hommes de notre ordre venus de Lyon […] » dit-il, avouant « […] j’ai dépasse les bornes provinciales qui vous </w:t>
      </w:r>
      <w:r w:rsidR="00A14F2D">
        <w:t xml:space="preserve">sont </w:t>
      </w:r>
      <w:r w:rsidR="009D1EFA">
        <w:t xml:space="preserve">accoutumées et familières […] ». Il rappelle que les Gaulois ont montré « […] une fidélité immuable et […] une </w:t>
      </w:r>
      <w:r w:rsidR="00A14F2D">
        <w:t>obéissance</w:t>
      </w:r>
      <w:r w:rsidR="009D1EFA">
        <w:t xml:space="preserve"> plus qu’éprouvée dans maintes conjonctures critiques. […] ». Les Gaulois sont donc selon lui largement romanisés et fidèles à l’Empire. </w:t>
      </w:r>
      <w:r w:rsidR="00ED2ED0">
        <w:t>Quels sont les arguments des sénateurs qui s’opposent à la pétition des Gaulois ? </w:t>
      </w:r>
      <w:r w:rsidR="006012EF">
        <w:t>Sénèque, sénateur, se moque de Claude qui, écrit-il, « […] avait décidé de voir en toge les Grecs, les Gaulois, les Espagnols et les Bretons au complet. […] » (</w:t>
      </w:r>
      <w:proofErr w:type="spellStart"/>
      <w:r w:rsidR="006012EF" w:rsidRPr="006012EF">
        <w:rPr>
          <w:i/>
        </w:rPr>
        <w:t>Apocoloquintose</w:t>
      </w:r>
      <w:proofErr w:type="spellEnd"/>
      <w:r w:rsidR="006012EF" w:rsidRPr="006012EF">
        <w:rPr>
          <w:i/>
        </w:rPr>
        <w:t xml:space="preserve"> du divin Claude</w:t>
      </w:r>
      <w:r w:rsidR="006012EF">
        <w:t>, Livre 3, paragraphes 1&amp;2, vers +55). Plus prosaïquement, Tacite (</w:t>
      </w:r>
      <w:r w:rsidR="006012EF" w:rsidRPr="00F74B39">
        <w:rPr>
          <w:i/>
        </w:rPr>
        <w:t>Annales</w:t>
      </w:r>
      <w:r w:rsidR="006012EF">
        <w:t>, Livre XI, paragraphes 23 à 25) montre l’égoïsme de l’ordre sénatorial qui voyaient dans les Gaulois des « riches » qui « […] allaient tout envahir. […] ». </w:t>
      </w:r>
    </w:p>
    <w:p w:rsidR="00ED2ED0" w:rsidRPr="005E61B8" w:rsidRDefault="00ED2ED0" w:rsidP="00B82625">
      <w:pPr>
        <w:spacing w:line="240" w:lineRule="auto"/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</w:p>
    <w:p w:rsidR="00ED2ED0" w:rsidRDefault="00ED2ED0" w:rsidP="00B82625">
      <w:pPr>
        <w:spacing w:line="240" w:lineRule="auto"/>
        <w:jc w:val="both"/>
      </w:pPr>
      <w:r>
        <w:tab/>
        <w:t>Quels enseignements sur la citoyenneté romaine peut-on tirer de cet événement ? </w:t>
      </w:r>
      <w:r w:rsidR="006012EF">
        <w:t>D’une part, la décision de Claude montre que la romanisation des élites, qui passe par la construction de villes à la manière de Rome avec forum, temples, thermes, théâtres et voies quadrangulaires, est achevée. </w:t>
      </w:r>
      <w:r w:rsidR="00F74B39">
        <w:t xml:space="preserve">L’entrée au Sénat permet en effet aux Éduens de terminer le </w:t>
      </w:r>
      <w:r w:rsidR="00F74B39" w:rsidRPr="00F74B39">
        <w:rPr>
          <w:i/>
        </w:rPr>
        <w:t xml:space="preserve">cursus </w:t>
      </w:r>
      <w:proofErr w:type="spellStart"/>
      <w:r w:rsidR="00F74B39" w:rsidRPr="00F74B39">
        <w:rPr>
          <w:i/>
        </w:rPr>
        <w:t>honorum</w:t>
      </w:r>
      <w:proofErr w:type="spellEnd"/>
      <w:r w:rsidR="00F74B39">
        <w:t>, de devenir consuls et d’atteindre le sommet de la pyramide politique et économique romaine</w:t>
      </w:r>
      <w:r w:rsidR="00B82625">
        <w:t>. Pour Claude, les Gaulois ont montré leur valeur : « […] je ne pense pas qu’on doit exclure du Sénat les habitants des provinces, s’ils peuvent lui faire honneur […] »</w:t>
      </w:r>
      <w:r w:rsidR="00F74B39">
        <w:t>. </w:t>
      </w:r>
      <w:r w:rsidR="00B82625">
        <w:t>L’Empire est une constellation de cités aux statuts juridiques très différents et inégalitaires qui tient en équilibre par cette « diplomatie intérieure » dont la requête des Gaulois est un excellent exemple. </w:t>
      </w:r>
      <w:r w:rsidR="00F74B39">
        <w:t xml:space="preserve">Mais </w:t>
      </w:r>
      <w:r w:rsidR="00B82625">
        <w:t>les « Tables claudiennes »</w:t>
      </w:r>
      <w:r w:rsidR="00F74B39">
        <w:t xml:space="preserve"> montre</w:t>
      </w:r>
      <w:r w:rsidR="00B82625">
        <w:t>nt</w:t>
      </w:r>
      <w:r w:rsidR="00F74B39">
        <w:t xml:space="preserve"> aussi que la citoyenneté romaine, qui couronne les citoyennetés locales, reste une relation de clientèle</w:t>
      </w:r>
      <w:r w:rsidR="00A14F2D">
        <w:t>,</w:t>
      </w:r>
      <w:r w:rsidR="00F74B39">
        <w:t xml:space="preserve"> de famille à famille. Et Claude, né à Lugdunum (Lyon), ne manque pas de rappeler ce lien privilégié qui unit la « Gaule chevelue » (Au Nord de la Narbonnaise) à sa famille : « […] Grâce à eux [les Gaulois], mon père </w:t>
      </w:r>
      <w:proofErr w:type="spellStart"/>
      <w:r w:rsidR="00F74B39">
        <w:t>Drusus</w:t>
      </w:r>
      <w:proofErr w:type="spellEnd"/>
      <w:r w:rsidR="00F74B39">
        <w:t>, soumettant la Germanie, eut derrière lui, garantit par leur calme, la sécurité de la paix. […] ».</w:t>
      </w:r>
      <w:r w:rsidR="00B82625">
        <w:t> L’Empereur, le premier des citoyens (</w:t>
      </w:r>
      <w:r w:rsidR="00B82625" w:rsidRPr="00A14F2D">
        <w:rPr>
          <w:i/>
        </w:rPr>
        <w:t>Princeps</w:t>
      </w:r>
      <w:r w:rsidR="00B82625">
        <w:t>), est aussi le père de ses habitants dont il décide du destin et des opportunités politiques qui s’offrent à eux. </w:t>
      </w:r>
    </w:p>
    <w:p w:rsidR="00F008E7" w:rsidRPr="005E61B8" w:rsidRDefault="00F008E7" w:rsidP="00B82625">
      <w:pPr>
        <w:spacing w:line="240" w:lineRule="auto"/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B85BFB" w:rsidRDefault="00ED2ED0" w:rsidP="00B82625">
      <w:pPr>
        <w:spacing w:line="240" w:lineRule="auto"/>
        <w:jc w:val="both"/>
      </w:pPr>
      <w:r>
        <w:tab/>
        <w:t xml:space="preserve">Avec les Tables claudiennes, c’est le fonctionnement </w:t>
      </w:r>
      <w:r w:rsidR="00681EE1">
        <w:t xml:space="preserve">de la romanisation </w:t>
      </w:r>
      <w:r w:rsidR="00AB286E">
        <w:t>qui est montré. E</w:t>
      </w:r>
      <w:r w:rsidR="00B82625">
        <w:t>lles montrent aussi une révolution dans la représentation de ce qu’est l’</w:t>
      </w:r>
      <w:r w:rsidR="00AB286E">
        <w:t>Empereur. S</w:t>
      </w:r>
      <w:r w:rsidR="00B82625">
        <w:t>e profile déjà la figure des autocrates bienveillants,</w:t>
      </w:r>
      <w:r w:rsidR="002741C1">
        <w:t> </w:t>
      </w:r>
      <w:r w:rsidR="00B82625">
        <w:t>établissant un lien</w:t>
      </w:r>
      <w:r w:rsidR="00AB286E">
        <w:t xml:space="preserve"> direct entre les habitants de l’Empire et l’Empereur, des habitants moins citoyens et plus sujets.</w:t>
      </w:r>
    </w:p>
    <w:p w:rsidR="00B85BFB" w:rsidRDefault="00B85BFB" w:rsidP="00B82625">
      <w:pPr>
        <w:spacing w:line="240" w:lineRule="auto"/>
        <w:jc w:val="both"/>
      </w:pPr>
      <w:r>
        <w:lastRenderedPageBreak/>
        <w:t>SOURCES :</w:t>
      </w:r>
    </w:p>
    <w:p w:rsidR="00B85BFB" w:rsidRDefault="002D0292" w:rsidP="00B82625">
      <w:pPr>
        <w:spacing w:line="240" w:lineRule="auto"/>
        <w:jc w:val="both"/>
      </w:pPr>
      <w:r>
        <w:rPr>
          <w:b/>
        </w:rPr>
        <w:t xml:space="preserve">HOSTEIN </w:t>
      </w:r>
      <w:r w:rsidRPr="002D0292">
        <w:t xml:space="preserve">(Antony), « 48 Des Gaulois au Sénat de Rome. », </w:t>
      </w:r>
      <w:r w:rsidRPr="002D0292">
        <w:rPr>
          <w:i/>
        </w:rPr>
        <w:t>in</w:t>
      </w:r>
      <w:r w:rsidRPr="002D0292">
        <w:t>, pages 61 à 65, dans « De l’Empire à l’Empire. »,</w:t>
      </w:r>
      <w:r>
        <w:rPr>
          <w:b/>
        </w:rPr>
        <w:t xml:space="preserve"> BOUCHERON</w:t>
      </w:r>
      <w:r w:rsidRPr="00BE2AAD">
        <w:t xml:space="preserve"> (</w:t>
      </w:r>
      <w:r>
        <w:t>Patrick</w:t>
      </w:r>
      <w:r w:rsidRPr="00BE2AAD">
        <w:t>)</w:t>
      </w:r>
      <w:r>
        <w:t>, professeur au Collège de France, sous la direction de, et sous la coordination de Nicolas DELALANDE (Professeur associé au Centre d’Histoire de Sciences Po), Florian MAZEL (Professeur à l’Université Rennes 2), Yann POTIN (Chargé d’études documentaires aux Archives nationales) et Pierre SINGARAVÉLOU (Professeur à l’Université Paris I Panthéon-Sorbonne)</w:t>
      </w:r>
      <w:r w:rsidRPr="00BE2AAD">
        <w:t xml:space="preserve">, </w:t>
      </w:r>
      <w:r>
        <w:rPr>
          <w:i/>
        </w:rPr>
        <w:t xml:space="preserve">Histoire mondiale de la France, </w:t>
      </w:r>
      <w:r>
        <w:t>2017</w:t>
      </w:r>
      <w:r w:rsidRPr="004952CC">
        <w:t>, Paris, aux éditions du Seuil,</w:t>
      </w:r>
      <w:r>
        <w:t xml:space="preserve"> 790 pages. ISBN 978-2-02-133629-0</w:t>
      </w:r>
      <w:r w:rsidRPr="0066618E">
        <w:t>. </w:t>
      </w:r>
    </w:p>
    <w:p w:rsidR="00B401CD" w:rsidRDefault="001B4009" w:rsidP="00B82625">
      <w:pPr>
        <w:spacing w:line="240" w:lineRule="auto"/>
        <w:jc w:val="both"/>
      </w:pPr>
      <w:r w:rsidRPr="004B6356">
        <w:rPr>
          <w:b/>
        </w:rPr>
        <w:t>COLON</w:t>
      </w:r>
      <w:r>
        <w:t xml:space="preserve"> (David), professeur agrégé d’Histoire, Sciences Po Paris (Institut d’Études Politiques de Paris, IEP-Paris), sous la direction de, </w:t>
      </w:r>
      <w:r w:rsidRPr="004B6356">
        <w:rPr>
          <w:b/>
        </w:rPr>
        <w:t>MASANET</w:t>
      </w:r>
      <w:r>
        <w:t xml:space="preserve"> (Philippe), professeur agrégé d’Histoire au Lycée Henri-IV (Paris,), sous la coordination pédagogique de, </w:t>
      </w:r>
      <w:r w:rsidRPr="004B6356">
        <w:rPr>
          <w:b/>
        </w:rPr>
        <w:t>ROBINOT</w:t>
      </w:r>
      <w:r>
        <w:t xml:space="preserve"> (Claude), Professeur agrégé d’Histoire-Géographie, Académie de Versailles, responsable numérique, </w:t>
      </w:r>
      <w:r w:rsidRPr="004B6356">
        <w:rPr>
          <w:b/>
        </w:rPr>
        <w:t>AVEZOU</w:t>
      </w:r>
      <w:r>
        <w:t xml:space="preserve"> (Laurent), professeur agrégé d’Histoire au Lycée Pierre-de-Fermat à Toulouse, </w:t>
      </w:r>
      <w:r w:rsidRPr="004B6356">
        <w:rPr>
          <w:b/>
        </w:rPr>
        <w:t>BANDE</w:t>
      </w:r>
      <w:r>
        <w:t xml:space="preserve"> (Alexandre), professeur agrégé d’Histoire-Géographie au Lycée Janson-de-</w:t>
      </w:r>
      <w:proofErr w:type="spellStart"/>
      <w:r>
        <w:t>Sailly</w:t>
      </w:r>
      <w:proofErr w:type="spellEnd"/>
      <w:r>
        <w:t xml:space="preserve"> à Paris, </w:t>
      </w:r>
      <w:r w:rsidRPr="004B6356">
        <w:rPr>
          <w:b/>
        </w:rPr>
        <w:t>BECQUET</w:t>
      </w:r>
      <w:r>
        <w:t xml:space="preserve"> (Hélène), professeur agrégé d’Histoire au Lycée Edmond-Michelet d’Arpajon, </w:t>
      </w:r>
      <w:r w:rsidRPr="004B6356">
        <w:rPr>
          <w:b/>
        </w:rPr>
        <w:t>COVIAUX</w:t>
      </w:r>
      <w:r>
        <w:t xml:space="preserve"> (Stéphane), professeur agrégé d’Histoire au Lycée Camille-Guérin de Poitiers, </w:t>
      </w:r>
      <w:r w:rsidRPr="002B5021">
        <w:rPr>
          <w:b/>
        </w:rPr>
        <w:t>DAVIEAU</w:t>
      </w:r>
      <w:r>
        <w:t xml:space="preserve"> (Nicolas), professeur agrégé d’Histoire au Lycée Marie-Curie de Sceaux, </w:t>
      </w:r>
      <w:r w:rsidRPr="002B5021">
        <w:rPr>
          <w:b/>
        </w:rPr>
        <w:t>JACQUEMOND</w:t>
      </w:r>
      <w:r>
        <w:t xml:space="preserve"> (Louis-Pascal), </w:t>
      </w:r>
      <w:r w:rsidRPr="00A955F9">
        <w:rPr>
          <w:u w:val="single"/>
        </w:rPr>
        <w:t>I</w:t>
      </w:r>
      <w:r>
        <w:t>nspecteur d’</w:t>
      </w:r>
      <w:r w:rsidRPr="00A955F9">
        <w:rPr>
          <w:u w:val="single"/>
        </w:rPr>
        <w:t>A</w:t>
      </w:r>
      <w:r>
        <w:t xml:space="preserve">cadémie, </w:t>
      </w:r>
      <w:r w:rsidRPr="00A955F9">
        <w:rPr>
          <w:u w:val="single"/>
        </w:rPr>
        <w:t>I</w:t>
      </w:r>
      <w:r>
        <w:t xml:space="preserve">nspecteur </w:t>
      </w:r>
      <w:r w:rsidRPr="00A955F9">
        <w:rPr>
          <w:u w:val="single"/>
        </w:rPr>
        <w:t>P</w:t>
      </w:r>
      <w:r>
        <w:t xml:space="preserve">édagogique </w:t>
      </w:r>
      <w:r w:rsidRPr="00A955F9">
        <w:rPr>
          <w:u w:val="single"/>
        </w:rPr>
        <w:t>R</w:t>
      </w:r>
      <w:r>
        <w:t xml:space="preserve">égional (IA-IPR), Académie de Grenoble, </w:t>
      </w:r>
      <w:r w:rsidRPr="002B5021">
        <w:rPr>
          <w:b/>
        </w:rPr>
        <w:t>LAHAYE</w:t>
      </w:r>
      <w:r>
        <w:t xml:space="preserve"> (Matthieu), professeur agrégé d’Histoire au Lycée Mariette de Boulogne-sur-Mer, </w:t>
      </w:r>
      <w:r w:rsidRPr="002B5021">
        <w:rPr>
          <w:b/>
        </w:rPr>
        <w:t>LARRÈRE</w:t>
      </w:r>
      <w:r>
        <w:t xml:space="preserve"> (Mathilde), Maître de conférence, Université de Marne-la-Vallée, </w:t>
      </w:r>
      <w:r w:rsidRPr="002B5021">
        <w:rPr>
          <w:b/>
        </w:rPr>
        <w:t>LETAC</w:t>
      </w:r>
      <w:r>
        <w:t xml:space="preserve"> (Anne-Sophie), professeur agrégé d’Histoire au Lycée Victor-Hugo et au Lycée Molière de Paris, </w:t>
      </w:r>
      <w:r w:rsidRPr="002B5021">
        <w:rPr>
          <w:b/>
        </w:rPr>
        <w:t>LUEZ</w:t>
      </w:r>
      <w:r>
        <w:t xml:space="preserve"> (Philippe), Conservateur du patrimoine, </w:t>
      </w:r>
      <w:r w:rsidRPr="002B5021">
        <w:rPr>
          <w:b/>
        </w:rPr>
        <w:t>PICARD</w:t>
      </w:r>
      <w:r>
        <w:t xml:space="preserve"> (Jean-Philippe), professeur agrégé d’Histoire, université Paris I Panthéon-Sorbonne, </w:t>
      </w:r>
      <w:r w:rsidRPr="002B5021">
        <w:rPr>
          <w:b/>
        </w:rPr>
        <w:t>POUSSET</w:t>
      </w:r>
      <w:r>
        <w:t xml:space="preserve"> (Sophie), professeur agrégé d’Histoire, Académie de Versailles, </w:t>
      </w:r>
      <w:r w:rsidRPr="00CE004C">
        <w:rPr>
          <w:b/>
        </w:rPr>
        <w:t>PROFIZI</w:t>
      </w:r>
      <w:r>
        <w:t xml:space="preserve"> (Vanina), professeur agrégé d’Histoire, Lycée Richelieu à Rueil-Malmaison, </w:t>
      </w:r>
      <w:r w:rsidRPr="00CE004C">
        <w:rPr>
          <w:b/>
        </w:rPr>
        <w:t>ROBIN ROMERO</w:t>
      </w:r>
      <w:r>
        <w:t xml:space="preserve"> (Isabelle), Maître de Conférences, Université Paris IV – Sorbonne, </w:t>
      </w:r>
      <w:r w:rsidRPr="00CE004C">
        <w:rPr>
          <w:b/>
        </w:rPr>
        <w:t>SAINT-PIERRE HOFFMANN</w:t>
      </w:r>
      <w:r>
        <w:t xml:space="preserve"> (Catherine), professeur agrégé d’Histoire au Collège Victor-Hugo d’Issy-les-Moulineaux, </w:t>
      </w:r>
      <w:r w:rsidRPr="00CE004C">
        <w:rPr>
          <w:b/>
        </w:rPr>
        <w:t>SOLIGNAT</w:t>
      </w:r>
      <w:r>
        <w:t xml:space="preserve"> (Anne-Valérie), professeur agrégé d’Histoire, ATER à l’Université de Rennes-II, </w:t>
      </w:r>
      <w:r w:rsidRPr="00870F6F">
        <w:rPr>
          <w:i/>
        </w:rPr>
        <w:t>Histoire Seconde. Programme de 2010</w:t>
      </w:r>
      <w:r>
        <w:t xml:space="preserve">, 2010, Paris, aux éditions Belin, 320 pages, ISBN 978-2-7011-5419-0. Et en particulier les pages </w:t>
      </w:r>
      <w:r w:rsidR="00174E1D">
        <w:t>66 et 67, « </w:t>
      </w:r>
      <w:proofErr w:type="spellStart"/>
      <w:r w:rsidR="00174E1D">
        <w:t>Ètude</w:t>
      </w:r>
      <w:proofErr w:type="spellEnd"/>
      <w:r w:rsidR="00174E1D">
        <w:t>, Les Tabes claudiennes. ». </w:t>
      </w:r>
    </w:p>
    <w:p w:rsidR="002D0292" w:rsidRDefault="002D0292" w:rsidP="002D0292">
      <w:pPr>
        <w:pStyle w:val="Sansinterligne"/>
        <w:jc w:val="both"/>
      </w:pPr>
      <w:hyperlink r:id="rId4" w:history="1">
        <w:r w:rsidRPr="00947D5B">
          <w:rPr>
            <w:rStyle w:val="Lienhypertexte"/>
          </w:rPr>
          <w:t>http://clioweb.free.fr/dossiers/ancienne/tableclaudienne.htm</w:t>
        </w:r>
      </w:hyperlink>
    </w:p>
    <w:p w:rsidR="002D0292" w:rsidRDefault="002D0292" w:rsidP="002D0292">
      <w:pPr>
        <w:pStyle w:val="Sansinterligne"/>
        <w:jc w:val="both"/>
      </w:pPr>
    </w:p>
    <w:p w:rsidR="002D0292" w:rsidRDefault="002D0292" w:rsidP="002D0292">
      <w:pPr>
        <w:pStyle w:val="Sansinterligne"/>
        <w:jc w:val="both"/>
      </w:pPr>
      <w:hyperlink r:id="rId5" w:history="1">
        <w:r w:rsidRPr="00947D5B">
          <w:rPr>
            <w:rStyle w:val="Lienhypertexte"/>
          </w:rPr>
          <w:t>https://fr.wikipedia.org/wiki/Table_claudienne</w:t>
        </w:r>
      </w:hyperlink>
    </w:p>
    <w:p w:rsidR="002D0292" w:rsidRDefault="002D0292" w:rsidP="00B82625">
      <w:pPr>
        <w:spacing w:line="240" w:lineRule="auto"/>
        <w:jc w:val="both"/>
      </w:pPr>
    </w:p>
    <w:sectPr w:rsidR="002D0292" w:rsidSect="00FA5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8E7"/>
    <w:rsid w:val="00107E18"/>
    <w:rsid w:val="00174E1D"/>
    <w:rsid w:val="00185869"/>
    <w:rsid w:val="001B4009"/>
    <w:rsid w:val="001B7240"/>
    <w:rsid w:val="00245BB0"/>
    <w:rsid w:val="00260F35"/>
    <w:rsid w:val="002741C1"/>
    <w:rsid w:val="002D0292"/>
    <w:rsid w:val="003B32CB"/>
    <w:rsid w:val="003E3FBB"/>
    <w:rsid w:val="004C4CAB"/>
    <w:rsid w:val="006012EF"/>
    <w:rsid w:val="006046BF"/>
    <w:rsid w:val="00681EE1"/>
    <w:rsid w:val="00691111"/>
    <w:rsid w:val="00753EBB"/>
    <w:rsid w:val="007573E2"/>
    <w:rsid w:val="007B36FC"/>
    <w:rsid w:val="007C60C3"/>
    <w:rsid w:val="00844664"/>
    <w:rsid w:val="00855C96"/>
    <w:rsid w:val="008C2867"/>
    <w:rsid w:val="009949A7"/>
    <w:rsid w:val="009D1EFA"/>
    <w:rsid w:val="009F66DC"/>
    <w:rsid w:val="00A1470C"/>
    <w:rsid w:val="00A14F2D"/>
    <w:rsid w:val="00A2620E"/>
    <w:rsid w:val="00AB286E"/>
    <w:rsid w:val="00B401CD"/>
    <w:rsid w:val="00B5606E"/>
    <w:rsid w:val="00B82625"/>
    <w:rsid w:val="00B85BFB"/>
    <w:rsid w:val="00C43567"/>
    <w:rsid w:val="00CE004C"/>
    <w:rsid w:val="00ED2ED0"/>
    <w:rsid w:val="00F008E7"/>
    <w:rsid w:val="00F55D70"/>
    <w:rsid w:val="00F74B39"/>
    <w:rsid w:val="00FA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029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D02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Table_claudienne" TargetMode="External"/><Relationship Id="rId4" Type="http://schemas.openxmlformats.org/officeDocument/2006/relationships/hyperlink" Target="http://clioweb.free.fr/dossiers/ancienne/tableclaudienn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2</Pages>
  <Words>1200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2017-07-06T21:48:00Z</dcterms:created>
  <dcterms:modified xsi:type="dcterms:W3CDTF">2017-11-07T13:56:00Z</dcterms:modified>
</cp:coreProperties>
</file>