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65" w:rsidRDefault="00FA5320" w:rsidP="00FA5320">
      <w:pPr>
        <w:jc w:val="center"/>
        <w:rPr>
          <w:b/>
          <w:color w:val="002060"/>
          <w:sz w:val="32"/>
          <w:szCs w:val="32"/>
        </w:rPr>
      </w:pPr>
      <w:r w:rsidRPr="00FA5320">
        <w:rPr>
          <w:b/>
          <w:color w:val="002060"/>
          <w:sz w:val="32"/>
          <w:szCs w:val="32"/>
        </w:rPr>
        <w:t>ÉPISTÉMOLOGIE DE L’HISTOIRE</w:t>
      </w:r>
      <w:r w:rsidR="00965381">
        <w:rPr>
          <w:b/>
          <w:color w:val="002060"/>
          <w:sz w:val="32"/>
          <w:szCs w:val="32"/>
        </w:rPr>
        <w:t> : LEÇON D’HISTORIOGRAPHIE</w:t>
      </w:r>
      <w:r>
        <w:rPr>
          <w:b/>
          <w:color w:val="002060"/>
          <w:sz w:val="32"/>
          <w:szCs w:val="32"/>
        </w:rPr>
        <w:t> </w:t>
      </w:r>
    </w:p>
    <w:p w:rsidR="00FA5320" w:rsidRPr="00FA5320" w:rsidRDefault="00965381" w:rsidP="00FA5320">
      <w:pPr>
        <w:jc w:val="center"/>
        <w:rPr>
          <w:b/>
          <w:i/>
          <w:color w:val="002060"/>
          <w:sz w:val="32"/>
          <w:szCs w:val="32"/>
        </w:rPr>
      </w:pPr>
      <w:r>
        <w:rPr>
          <w:b/>
          <w:i/>
          <w:color w:val="002060"/>
          <w:sz w:val="32"/>
          <w:szCs w:val="32"/>
        </w:rPr>
        <w:t>Qu’est-ce que la vérité historique</w:t>
      </w:r>
      <w:r w:rsidR="00FA5320" w:rsidRPr="00FA5320">
        <w:rPr>
          <w:b/>
          <w:i/>
          <w:color w:val="002060"/>
          <w:sz w:val="32"/>
          <w:szCs w:val="32"/>
        </w:rPr>
        <w:t> ? </w:t>
      </w:r>
    </w:p>
    <w:p w:rsidR="00FA5320" w:rsidRDefault="001A400B" w:rsidP="00FA5320">
      <w:pPr>
        <w:jc w:val="both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589.5pt;margin-top:18.35pt;width:174pt;height:41.25pt;z-index:251689984" filled="f" stroked="f">
            <v:textbox>
              <w:txbxContent>
                <w:p w:rsidR="00245D4E" w:rsidRPr="00FA5320" w:rsidRDefault="00245D4E" w:rsidP="00245D4E">
                  <w:pPr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Les archives publiques et privées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5" type="#_x0000_t19" style="position:absolute;left:0;text-align:left;margin-left:348.35pt;margin-top:7.1pt;width:153.75pt;height:153.75pt;rotation:270;flip:x;z-index:251673600" coordsize="43200,43200" adj=",-7017106,21600" path="wr,,43200,43200,21600,,15259,952nfewr,,43200,43200,21600,,15259,952l21600,21600nsxe" strokecolor="red" strokeweight="2.25pt">
            <v:stroke endarrow="open"/>
            <v:path o:connectlocs="21600,0;15259,952;21600,21600"/>
          </v:shape>
        </w:pict>
      </w:r>
      <w:r>
        <w:rPr>
          <w:noProof/>
          <w:lang w:eastAsia="fr-FR"/>
        </w:rPr>
        <w:pict>
          <v:shape id="_x0000_s1046" type="#_x0000_t19" style="position:absolute;left:0;text-align:left;margin-left:278.25pt;margin-top:7.1pt;width:153.75pt;height:153.75pt;rotation:270;z-index:251674624" coordsize="43200,43200" adj=",-7017106,21600" path="wr,,43200,43200,21600,,15259,952nfewr,,43200,43200,21600,,15259,952l21600,21600nsxe" strokecolor="red" strokeweight="2.25pt">
            <v:stroke endarrow="open"/>
            <v:path o:connectlocs="21600,0;15259,952;21600,21600"/>
          </v:shape>
        </w:pict>
      </w:r>
    </w:p>
    <w:p w:rsidR="00FA5320" w:rsidRDefault="001A400B" w:rsidP="00FA5320">
      <w:pPr>
        <w:jc w:val="both"/>
      </w:pPr>
      <w:r w:rsidRPr="001A400B">
        <w:rPr>
          <w:b/>
          <w:i/>
          <w:noProof/>
          <w:color w:val="002060"/>
          <w:sz w:val="32"/>
          <w:szCs w:val="32"/>
          <w:lang w:eastAsia="fr-FR"/>
        </w:rPr>
        <w:pict>
          <v:shape id="_x0000_s1057" type="#_x0000_t202" style="position:absolute;left:0;text-align:left;margin-left:27.75pt;margin-top:7.85pt;width:174pt;height:41.25pt;z-index:251686912" filled="f" stroked="f">
            <v:textbox>
              <w:txbxContent>
                <w:p w:rsidR="00245D4E" w:rsidRPr="00FA5320" w:rsidRDefault="00245D4E" w:rsidP="00245D4E">
                  <w:pPr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La mémoire populaire héritée de l’école et des médias</w:t>
                  </w:r>
                </w:p>
              </w:txbxContent>
            </v:textbox>
          </v:shape>
        </w:pict>
      </w:r>
    </w:p>
    <w:p w:rsidR="00FA5320" w:rsidRDefault="001A400B" w:rsidP="00FA5320">
      <w:pPr>
        <w:jc w:val="both"/>
      </w:pPr>
      <w:r>
        <w:rPr>
          <w:noProof/>
          <w:lang w:eastAsia="fr-FR"/>
        </w:rPr>
        <w:pict>
          <v:shape id="_x0000_s1061" type="#_x0000_t202" style="position:absolute;left:0;text-align:left;margin-left:589.5pt;margin-top:16.85pt;width:174pt;height:41.25pt;z-index:251691008" filled="f" stroked="f">
            <v:textbox>
              <w:txbxContent>
                <w:p w:rsidR="00245D4E" w:rsidRPr="00FA5320" w:rsidRDefault="00245D4E" w:rsidP="00245D4E">
                  <w:pPr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Les traces archéologiques</w:t>
                  </w:r>
                </w:p>
              </w:txbxContent>
            </v:textbox>
          </v:shape>
        </w:pict>
      </w:r>
      <w:r w:rsidRPr="001A400B">
        <w:rPr>
          <w:b/>
          <w:i/>
          <w:noProof/>
          <w:color w:val="002060"/>
          <w:sz w:val="32"/>
          <w:szCs w:val="32"/>
          <w:lang w:eastAsia="fr-FR"/>
        </w:rPr>
        <w:pict>
          <v:shape id="_x0000_s1038" type="#_x0000_t202" style="position:absolute;left:0;text-align:left;margin-left:192pt;margin-top:14.6pt;width:86.25pt;height:53.25pt;z-index:251669504" filled="f" stroked="f">
            <v:textbox>
              <w:txbxContent>
                <w:p w:rsidR="00FA5320" w:rsidRPr="00FA5320" w:rsidRDefault="00FA5320" w:rsidP="00FA5320">
                  <w:pPr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LA MÉMOIRE  &amp; LES MÉMOIRE(S)</w:t>
                  </w:r>
                </w:p>
              </w:txbxContent>
            </v:textbox>
          </v:shape>
        </w:pict>
      </w:r>
    </w:p>
    <w:p w:rsidR="00FA5320" w:rsidRDefault="001A400B" w:rsidP="00FA5320">
      <w:pPr>
        <w:jc w:val="both"/>
      </w:pPr>
      <w:r>
        <w:rPr>
          <w:noProof/>
          <w:lang w:eastAsia="fr-FR"/>
        </w:rPr>
        <w:pict>
          <v:shape id="_x0000_s1058" type="#_x0000_t202" style="position:absolute;left:0;text-align:left;margin-left:21pt;margin-top:13.1pt;width:174pt;height:41.25pt;z-index:251687936" filled="f" stroked="f">
            <v:textbox>
              <w:txbxContent>
                <w:p w:rsidR="00245D4E" w:rsidRPr="00FA5320" w:rsidRDefault="00245D4E" w:rsidP="00245D4E">
                  <w:pPr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La mémoire des acteurs de l’histoire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278.25pt;margin-top:17.6pt;width:111.7pt;height:66.8pt;z-index:251680768" o:connectortype="straight" strokecolor="#c00000"/>
        </w:pict>
      </w:r>
      <w:r>
        <w:rPr>
          <w:noProof/>
          <w:lang w:eastAsia="fr-FR"/>
        </w:rPr>
        <w:pict>
          <v:shape id="_x0000_s1053" type="#_x0000_t32" style="position:absolute;left:0;text-align:left;margin-left:389.95pt;margin-top:17.6pt;width:112.9pt;height:66.8pt;flip:y;z-index:251681792" o:connectortype="straight" strokecolor="#c00000"/>
        </w:pict>
      </w:r>
      <w:r>
        <w:rPr>
          <w:noProof/>
          <w:lang w:eastAsia="fr-FR"/>
        </w:rPr>
        <w:pict>
          <v:shape id="_x0000_s1050" type="#_x0000_t32" style="position:absolute;left:0;text-align:left;margin-left:403.5pt;margin-top:17.6pt;width:108.35pt;height:194.25pt;flip:y;z-index:251678720" o:connectortype="straight" strokecolor="#002060" strokeweight="1.5pt">
            <v:stroke startarrow="block" endarrow="block"/>
          </v:shape>
        </w:pict>
      </w:r>
      <w:r>
        <w:rPr>
          <w:noProof/>
          <w:lang w:eastAsia="fr-FR"/>
        </w:rPr>
        <w:pict>
          <v:shape id="_x0000_s1049" type="#_x0000_t32" style="position:absolute;left:0;text-align:left;margin-left:268.5pt;margin-top:17.6pt;width:115.5pt;height:194.25pt;z-index:251677696" o:connectortype="straight" strokecolor="#002060" strokeweight="1.5pt">
            <v:stroke startarrow="block" endarrow="block"/>
          </v:shape>
        </w:pict>
      </w:r>
      <w:r>
        <w:rPr>
          <w:noProof/>
          <w:lang w:eastAsia="fr-FR"/>
        </w:rPr>
        <w:pict>
          <v:shape id="_x0000_s1048" type="#_x0000_t32" style="position:absolute;left:0;text-align:left;margin-left:278.25pt;margin-top:13.1pt;width:223.85pt;height:0;z-index:251676672" o:connectortype="straight" strokecolor="#002060" strokeweight="1.5pt">
            <v:stroke startarrow="block" endarrow="block"/>
          </v:shape>
        </w:pict>
      </w:r>
      <w:r>
        <w:rPr>
          <w:noProof/>
          <w:lang w:eastAsia="fr-FR"/>
        </w:rPr>
        <w:pict>
          <v:shape id="_x0000_s1027" type="#_x0000_t202" style="position:absolute;left:0;text-align:left;margin-left:502.85pt;margin-top:4.1pt;width:92.65pt;height:27pt;z-index:251659264" filled="f" stroked="f">
            <v:textbox>
              <w:txbxContent>
                <w:p w:rsidR="00FA5320" w:rsidRPr="00FA5320" w:rsidRDefault="00FA5320" w:rsidP="00FA5320">
                  <w:pPr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LES ARCHIVES</w:t>
                  </w:r>
                </w:p>
              </w:txbxContent>
            </v:textbox>
          </v:shape>
        </w:pict>
      </w:r>
    </w:p>
    <w:p w:rsidR="00FA5320" w:rsidRDefault="001A400B" w:rsidP="00FA5320">
      <w:pPr>
        <w:jc w:val="both"/>
      </w:pPr>
      <w:r w:rsidRPr="001A400B">
        <w:rPr>
          <w:b/>
          <w:i/>
          <w:noProof/>
          <w:color w:val="002060"/>
          <w:sz w:val="32"/>
          <w:szCs w:val="32"/>
          <w:lang w:eastAsia="fr-FR"/>
        </w:rPr>
        <w:pict>
          <v:shape id="_x0000_s1062" type="#_x0000_t202" style="position:absolute;left:0;text-align:left;margin-left:590.25pt;margin-top:2.65pt;width:174pt;height:41.25pt;z-index:251692032" filled="f" stroked="f">
            <v:textbox>
              <w:txbxContent>
                <w:p w:rsidR="00245D4E" w:rsidRPr="00FA5320" w:rsidRDefault="00245D4E" w:rsidP="00245D4E">
                  <w:pPr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Les découvertes, les ouvertures d’archives secrètes</w:t>
                  </w:r>
                </w:p>
              </w:txbxContent>
            </v:textbox>
          </v:shape>
        </w:pict>
      </w:r>
    </w:p>
    <w:p w:rsidR="00FA5320" w:rsidRDefault="001A400B" w:rsidP="00FA5320">
      <w:pPr>
        <w:jc w:val="both"/>
      </w:pPr>
      <w:r>
        <w:rPr>
          <w:noProof/>
          <w:lang w:eastAsia="fr-FR"/>
        </w:rPr>
        <w:pict>
          <v:shape id="_x0000_s1059" type="#_x0000_t202" style="position:absolute;left:0;text-align:left;margin-left:32.25pt;margin-top:17.65pt;width:174pt;height:61.5pt;z-index:251688960" filled="f" stroked="f">
            <v:textbox>
              <w:txbxContent>
                <w:p w:rsidR="00245D4E" w:rsidRPr="00FA5320" w:rsidRDefault="00245D4E" w:rsidP="00245D4E">
                  <w:pPr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Les mémoires conflictuelles des groupes de « porteurs de mémoire »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055" style="position:absolute;left:0;text-align:left;margin-left:360.05pt;margin-top:12.35pt;width:7.15pt;height:7.15pt;z-index:251684864" fillcolor="#c00000" strokecolor="#c00000"/>
        </w:pict>
      </w:r>
      <w:r>
        <w:rPr>
          <w:noProof/>
          <w:lang w:eastAsia="fr-FR"/>
        </w:rPr>
        <w:pict>
          <v:oval id="_x0000_s1056" style="position:absolute;left:0;text-align:left;margin-left:413.4pt;margin-top:12.35pt;width:7.15pt;height:7.15pt;z-index:251685888" fillcolor="#c00000" strokecolor="#c00000"/>
        </w:pict>
      </w:r>
      <w:r>
        <w:rPr>
          <w:noProof/>
          <w:lang w:eastAsia="fr-FR"/>
        </w:rPr>
        <w:pict>
          <v:shape id="_x0000_s1047" style="position:absolute;left:0;text-align:left;margin-left:363.75pt;margin-top:7.7pt;width:53.4pt;height:31.75pt;z-index:251675648" coordsize="1068,635" path="m,169hdc229,,966,75,1068,184,904,443,829,457,529,635,188,498,174,423,,169xe" fillcolor="red" strokecolor="red">
            <v:fill r:id="rId5" o:title="Diagonales larges vers le haut" type="pattern"/>
            <v:path arrowok="t"/>
          </v:shape>
        </w:pict>
      </w:r>
      <w:r>
        <w:rPr>
          <w:noProof/>
          <w:lang w:eastAsia="fr-FR"/>
        </w:rPr>
        <w:pict>
          <v:shape id="_x0000_s1041" type="#_x0000_t19" style="position:absolute;left:0;text-align:left;margin-left:312.75pt;margin-top:11.65pt;width:153.75pt;height:153.75pt;rotation:11640012fd;z-index:251672576" coordsize="43200,43200" adj="-5899457,-7017106,21600" path="wr,,43200,43200,21593,,15259,952nfewr,,43200,43200,21593,,15259,952l21600,21600nsxe" strokecolor="red" strokeweight="2.25pt">
            <v:stroke endarrow="open"/>
            <v:path o:connectlocs="21593,0;15259,952;21600,21600"/>
          </v:shape>
        </w:pict>
      </w:r>
    </w:p>
    <w:p w:rsidR="00FA5320" w:rsidRDefault="001A400B" w:rsidP="00FA5320">
      <w:pPr>
        <w:jc w:val="both"/>
      </w:pPr>
      <w:r w:rsidRPr="001A400B">
        <w:rPr>
          <w:b/>
          <w:i/>
          <w:noProof/>
          <w:color w:val="002060"/>
          <w:sz w:val="32"/>
          <w:szCs w:val="32"/>
          <w:lang w:eastAsia="fr-FR"/>
        </w:rPr>
        <w:pict>
          <v:oval id="_x0000_s1051" style="position:absolute;left:0;text-align:left;margin-left:385.85pt;margin-top:13.95pt;width:7.15pt;height:7.15pt;z-index:251683840" fillcolor="#c00000" strokecolor="#c00000"/>
        </w:pict>
      </w:r>
      <w:r w:rsidRPr="001A400B">
        <w:rPr>
          <w:b/>
          <w:i/>
          <w:noProof/>
          <w:color w:val="002060"/>
          <w:sz w:val="32"/>
          <w:szCs w:val="32"/>
          <w:lang w:eastAsia="fr-FR"/>
        </w:rPr>
        <w:pict>
          <v:shape id="_x0000_s1054" type="#_x0000_t32" style="position:absolute;left:0;text-align:left;margin-left:389.95pt;margin-top:16.95pt;width:2.7pt;height:125.95pt;z-index:251682816" o:connectortype="straight" strokecolor="#c00000"/>
        </w:pict>
      </w:r>
    </w:p>
    <w:p w:rsidR="00FA5320" w:rsidRDefault="001A400B" w:rsidP="00FA5320">
      <w:pPr>
        <w:jc w:val="both"/>
      </w:pPr>
      <w:r w:rsidRPr="001A400B">
        <w:rPr>
          <w:b/>
          <w:i/>
          <w:noProof/>
          <w:color w:val="002060"/>
          <w:sz w:val="32"/>
          <w:szCs w:val="32"/>
          <w:lang w:eastAsia="fr-FR"/>
        </w:rPr>
        <w:pict>
          <v:shape id="_x0000_s1066" type="#_x0000_t202" style="position:absolute;left:0;text-align:left;margin-left:519pt;margin-top:13.9pt;width:174pt;height:41.25pt;z-index:251696128" filled="f" stroked="f">
            <v:textbox>
              <w:txbxContent>
                <w:p w:rsidR="00245D4E" w:rsidRPr="00FA5320" w:rsidRDefault="00245D4E" w:rsidP="00245D4E">
                  <w:pPr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UNE ZONE DE DOUTE RAISONNABLE</w:t>
                  </w:r>
                </w:p>
              </w:txbxContent>
            </v:textbox>
          </v:shape>
        </w:pict>
      </w:r>
    </w:p>
    <w:p w:rsidR="00FA5320" w:rsidRDefault="00FA5320" w:rsidP="00FA5320">
      <w:pPr>
        <w:jc w:val="both"/>
      </w:pPr>
    </w:p>
    <w:p w:rsidR="00FA5320" w:rsidRDefault="001A400B" w:rsidP="00FA5320">
      <w:pPr>
        <w:jc w:val="both"/>
      </w:pPr>
      <w:r>
        <w:rPr>
          <w:noProof/>
          <w:lang w:eastAsia="fr-FR"/>
        </w:rPr>
        <w:pict>
          <v:shape id="_x0000_s1067" type="#_x0000_t202" style="position:absolute;left:0;text-align:left;margin-left:475.5pt;margin-top:19.95pt;width:309pt;height:95.25pt;z-index:251697152" filled="f" stroked="f">
            <v:textbox>
              <w:txbxContent>
                <w:p w:rsidR="00245D4E" w:rsidRDefault="00245D4E" w:rsidP="00245D4E">
                  <w:pPr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 xml:space="preserve">L’existence de cette zone de doute raisonnable confère à l’historien une </w:t>
                  </w:r>
                  <w:r w:rsidRPr="00245D4E">
                    <w:rPr>
                      <w:b/>
                      <w:color w:val="002060"/>
                      <w:sz w:val="28"/>
                      <w:szCs w:val="28"/>
                    </w:rPr>
                    <w:t>double responsabilité</w:t>
                  </w:r>
                  <w:r>
                    <w:rPr>
                      <w:b/>
                      <w:color w:val="002060"/>
                      <w:sz w:val="24"/>
                      <w:szCs w:val="24"/>
                    </w:rPr>
                    <w:t> :</w:t>
                  </w:r>
                </w:p>
                <w:p w:rsidR="00245D4E" w:rsidRPr="00245D4E" w:rsidRDefault="00245D4E" w:rsidP="00245D4E">
                  <w:pPr>
                    <w:pStyle w:val="Paragraphedeliste"/>
                    <w:numPr>
                      <w:ilvl w:val="0"/>
                      <w:numId w:val="1"/>
                    </w:numPr>
                    <w:jc w:val="both"/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245D4E">
                    <w:rPr>
                      <w:b/>
                      <w:color w:val="002060"/>
                      <w:sz w:val="24"/>
                      <w:szCs w:val="24"/>
                    </w:rPr>
                    <w:t>Son intégrité morale</w:t>
                  </w:r>
                  <w:r w:rsidR="00B22CD7">
                    <w:rPr>
                      <w:b/>
                      <w:color w:val="002060"/>
                      <w:sz w:val="24"/>
                      <w:szCs w:val="24"/>
                    </w:rPr>
                    <w:t xml:space="preserve"> (Une subjectivité contrôlée)</w:t>
                  </w:r>
                </w:p>
                <w:p w:rsidR="00245D4E" w:rsidRPr="00245D4E" w:rsidRDefault="00245D4E" w:rsidP="00245D4E">
                  <w:pPr>
                    <w:pStyle w:val="Paragraphedeliste"/>
                    <w:numPr>
                      <w:ilvl w:val="0"/>
                      <w:numId w:val="1"/>
                    </w:numPr>
                    <w:jc w:val="both"/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245D4E">
                    <w:rPr>
                      <w:b/>
                      <w:color w:val="002060"/>
                      <w:sz w:val="24"/>
                      <w:szCs w:val="24"/>
                    </w:rPr>
                    <w:t xml:space="preserve">La transparence </w:t>
                  </w:r>
                  <w:r w:rsidR="00B22CD7">
                    <w:rPr>
                      <w:b/>
                      <w:color w:val="002060"/>
                      <w:sz w:val="24"/>
                      <w:szCs w:val="24"/>
                    </w:rPr>
                    <w:t>(</w:t>
                  </w:r>
                  <w:r w:rsidRPr="00245D4E">
                    <w:rPr>
                      <w:b/>
                      <w:color w:val="002060"/>
                      <w:sz w:val="24"/>
                      <w:szCs w:val="24"/>
                    </w:rPr>
                    <w:t>sur ses sources et ses méthodes</w:t>
                  </w:r>
                  <w:r w:rsidR="00B22CD7">
                    <w:rPr>
                      <w:b/>
                      <w:color w:val="002060"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</w:p>
    <w:p w:rsidR="00FA5320" w:rsidRDefault="00FA5320" w:rsidP="00FA5320">
      <w:pPr>
        <w:jc w:val="both"/>
      </w:pPr>
    </w:p>
    <w:p w:rsidR="00FA5320" w:rsidRDefault="00FA5320" w:rsidP="00FA5320">
      <w:pPr>
        <w:jc w:val="both"/>
      </w:pPr>
    </w:p>
    <w:p w:rsidR="00FA5320" w:rsidRDefault="001A400B" w:rsidP="00FA5320">
      <w:pPr>
        <w:jc w:val="both"/>
      </w:pPr>
      <w:r w:rsidRPr="001A400B">
        <w:rPr>
          <w:b/>
          <w:i/>
          <w:noProof/>
          <w:color w:val="002060"/>
          <w:sz w:val="32"/>
          <w:szCs w:val="32"/>
          <w:lang w:eastAsia="fr-FR"/>
        </w:rPr>
        <w:pict>
          <v:shape id="_x0000_s1039" type="#_x0000_t202" style="position:absolute;left:0;text-align:left;margin-left:348.35pt;margin-top:9.45pt;width:82.9pt;height:33.75pt;z-index:251670528" filled="f" stroked="f">
            <v:textbox>
              <w:txbxContent>
                <w:p w:rsidR="00FA5320" w:rsidRPr="00FA5320" w:rsidRDefault="00FA5320" w:rsidP="00FA5320">
                  <w:pPr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L’HISTORIEN</w:t>
                  </w:r>
                </w:p>
              </w:txbxContent>
            </v:textbox>
          </v:shape>
        </w:pict>
      </w:r>
    </w:p>
    <w:p w:rsidR="00FA5320" w:rsidRDefault="001A400B" w:rsidP="00FA5320">
      <w:pPr>
        <w:jc w:val="both"/>
      </w:pPr>
      <w:r>
        <w:rPr>
          <w:noProof/>
          <w:lang w:eastAsia="fr-FR"/>
        </w:rPr>
        <w:pict>
          <v:shape id="_x0000_s1068" type="#_x0000_t202" style="position:absolute;left:0;text-align:left;margin-left:475.5pt;margin-top:16.2pt;width:292.5pt;height:48pt;z-index:251698176" filled="f" stroked="f">
            <v:textbox>
              <w:txbxContent>
                <w:p w:rsidR="00245D4E" w:rsidRPr="00245D4E" w:rsidRDefault="00245D4E" w:rsidP="00245D4E">
                  <w:pPr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 xml:space="preserve">L’existence de cette zone de doute créé un espace de débat public, </w:t>
                  </w:r>
                  <w:r w:rsidR="00A856E9">
                    <w:rPr>
                      <w:b/>
                      <w:color w:val="002060"/>
                      <w:sz w:val="24"/>
                      <w:szCs w:val="24"/>
                    </w:rPr>
                    <w:t>de contestation…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3" type="#_x0000_t202" style="position:absolute;left:0;text-align:left;margin-left:301.5pt;margin-top:9.45pt;width:174pt;height:41.25pt;z-index:251693056" filled="f" stroked="f">
            <v:textbox>
              <w:txbxContent>
                <w:p w:rsidR="00245D4E" w:rsidRPr="00FA5320" w:rsidRDefault="00245D4E" w:rsidP="00245D4E">
                  <w:pPr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Sa classe sociale, son « temps », le lieu où il écrit…</w:t>
                  </w:r>
                </w:p>
              </w:txbxContent>
            </v:textbox>
          </v:shape>
        </w:pict>
      </w:r>
    </w:p>
    <w:p w:rsidR="00FA5320" w:rsidRDefault="001A400B" w:rsidP="00FA5320">
      <w:pPr>
        <w:jc w:val="both"/>
      </w:pPr>
      <w:r w:rsidRPr="001A400B">
        <w:rPr>
          <w:b/>
          <w:i/>
          <w:noProof/>
          <w:color w:val="002060"/>
          <w:sz w:val="32"/>
          <w:szCs w:val="32"/>
          <w:lang w:eastAsia="fr-FR"/>
        </w:rPr>
        <w:pict>
          <v:shape id="_x0000_s1064" type="#_x0000_t202" style="position:absolute;left:0;text-align:left;margin-left:301.5pt;margin-top:20pt;width:174pt;height:41.25pt;z-index:251694080" filled="f" stroked="f">
            <v:textbox>
              <w:txbxContent>
                <w:p w:rsidR="00245D4E" w:rsidRPr="00FA5320" w:rsidRDefault="00245D4E" w:rsidP="00245D4E">
                  <w:pPr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Ses convictions politiques, sa subjectivité, son talent…</w:t>
                  </w:r>
                </w:p>
              </w:txbxContent>
            </v:textbox>
          </v:shape>
        </w:pict>
      </w:r>
    </w:p>
    <w:p w:rsidR="00FA5320" w:rsidRDefault="00FA5320" w:rsidP="00FA5320">
      <w:pPr>
        <w:jc w:val="both"/>
      </w:pPr>
    </w:p>
    <w:p w:rsidR="00FA5320" w:rsidRDefault="001A400B" w:rsidP="00FA5320">
      <w:pPr>
        <w:jc w:val="both"/>
      </w:pPr>
      <w:r>
        <w:rPr>
          <w:noProof/>
          <w:lang w:eastAsia="fr-FR"/>
        </w:rPr>
        <w:pict>
          <v:shape id="_x0000_s1069" type="#_x0000_t202" style="position:absolute;left:0;text-align:left;margin-left:476.25pt;margin-top:12.5pt;width:292.5pt;height:53.25pt;z-index:251699200" filled="f" stroked="f">
            <v:textbox>
              <w:txbxContent>
                <w:p w:rsidR="00A856E9" w:rsidRPr="00245D4E" w:rsidRDefault="00A856E9" w:rsidP="00A856E9">
                  <w:pPr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 xml:space="preserve">L’existence de cette zone de doute raisonnable confère à l’historien la </w:t>
                  </w:r>
                  <w:r w:rsidRPr="00A856E9">
                    <w:rPr>
                      <w:b/>
                      <w:color w:val="002060"/>
                      <w:sz w:val="28"/>
                      <w:szCs w:val="28"/>
                    </w:rPr>
                    <w:t>mission de l’interprétation</w:t>
                  </w:r>
                  <w:r>
                    <w:rPr>
                      <w:b/>
                      <w:color w:val="002060"/>
                      <w:sz w:val="24"/>
                      <w:szCs w:val="24"/>
                    </w:rPr>
                    <w:t>. 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5" type="#_x0000_t202" style="position:absolute;left:0;text-align:left;margin-left:301.5pt;margin-top:14.75pt;width:174pt;height:41.25pt;z-index:251695104" filled="f" stroked="f">
            <v:textbox>
              <w:txbxContent>
                <w:p w:rsidR="00245D4E" w:rsidRPr="00FA5320" w:rsidRDefault="00245D4E" w:rsidP="00245D4E">
                  <w:pPr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La rigueur de sa méthode…</w:t>
                  </w:r>
                </w:p>
              </w:txbxContent>
            </v:textbox>
          </v:shape>
        </w:pict>
      </w:r>
    </w:p>
    <w:p w:rsidR="00FA5320" w:rsidRDefault="00FA5320" w:rsidP="00FA5320">
      <w:pPr>
        <w:jc w:val="both"/>
      </w:pPr>
    </w:p>
    <w:p w:rsidR="00FA5320" w:rsidRDefault="00FA5320" w:rsidP="00FA5320">
      <w:pPr>
        <w:jc w:val="both"/>
      </w:pPr>
    </w:p>
    <w:p w:rsidR="00FA5320" w:rsidRDefault="00FA5320" w:rsidP="00FA5320">
      <w:pPr>
        <w:jc w:val="both"/>
      </w:pPr>
    </w:p>
    <w:p w:rsidR="00FA5320" w:rsidRDefault="00FA5320" w:rsidP="00FA5320">
      <w:pPr>
        <w:jc w:val="both"/>
      </w:pPr>
    </w:p>
    <w:sectPr w:rsidR="00FA5320" w:rsidSect="00FA53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E2284"/>
    <w:multiLevelType w:val="hybridMultilevel"/>
    <w:tmpl w:val="2DF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5320"/>
    <w:rsid w:val="00114DC0"/>
    <w:rsid w:val="001A400B"/>
    <w:rsid w:val="00245D4E"/>
    <w:rsid w:val="00281F4C"/>
    <w:rsid w:val="003F331B"/>
    <w:rsid w:val="00405031"/>
    <w:rsid w:val="004C4CAB"/>
    <w:rsid w:val="0070285D"/>
    <w:rsid w:val="007041F8"/>
    <w:rsid w:val="00965381"/>
    <w:rsid w:val="009A50E7"/>
    <w:rsid w:val="00A856E9"/>
    <w:rsid w:val="00A871DF"/>
    <w:rsid w:val="00AF12F3"/>
    <w:rsid w:val="00B22CD7"/>
    <w:rsid w:val="00C43567"/>
    <w:rsid w:val="00CE74EE"/>
    <w:rsid w:val="00E27090"/>
    <w:rsid w:val="00E438C1"/>
    <w:rsid w:val="00ED5F19"/>
    <w:rsid w:val="00F13F0F"/>
    <w:rsid w:val="00F77EF7"/>
    <w:rsid w:val="00F97DA8"/>
    <w:rsid w:val="00FA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  <o:rules v:ext="edit">
        <o:r id="V:Rule1" type="arc" idref="#_x0000_s1045"/>
        <o:r id="V:Rule2" type="arc" idref="#_x0000_s1046"/>
        <o:r id="V:Rule8" type="arc" idref="#_x0000_s1041"/>
        <o:r id="V:Rule10" type="connector" idref="#_x0000_s1054"/>
        <o:r id="V:Rule11" type="connector" idref="#_x0000_s1053"/>
        <o:r id="V:Rule12" type="connector" idref="#_x0000_s1052"/>
        <o:r id="V:Rule13" type="connector" idref="#_x0000_s1048"/>
        <o:r id="V:Rule14" type="connector" idref="#_x0000_s1050"/>
        <o:r id="V:Rule15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4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5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2016-08-12T20:12:00Z</dcterms:created>
  <dcterms:modified xsi:type="dcterms:W3CDTF">2017-02-22T20:21:00Z</dcterms:modified>
</cp:coreProperties>
</file>