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60" w:rsidRPr="002F7360" w:rsidRDefault="002F7360" w:rsidP="00E17ABF">
      <w:pPr>
        <w:jc w:val="both"/>
        <w:rPr>
          <w:b/>
        </w:rPr>
      </w:pPr>
      <w:r w:rsidRPr="002F7360">
        <w:rPr>
          <w:b/>
        </w:rPr>
        <w:t>Table des sigles et des abréviations :</w:t>
      </w:r>
    </w:p>
    <w:p w:rsidR="009B0BAA" w:rsidRDefault="009B0BAA" w:rsidP="00D55DE1">
      <w:pPr>
        <w:spacing w:line="240" w:lineRule="auto"/>
        <w:jc w:val="both"/>
      </w:pPr>
      <w:r>
        <w:t>CI</w:t>
      </w:r>
      <w:r>
        <w:tab/>
      </w:r>
      <w:r w:rsidR="00261074">
        <w:tab/>
      </w:r>
      <w:r w:rsidR="00261074">
        <w:tab/>
      </w:r>
      <w:r>
        <w:t>Côte d’Ivoire</w:t>
      </w:r>
    </w:p>
    <w:p w:rsidR="00261074" w:rsidRDefault="00261074" w:rsidP="00D55DE1">
      <w:pPr>
        <w:spacing w:line="240" w:lineRule="auto"/>
        <w:jc w:val="both"/>
      </w:pPr>
      <w:r>
        <w:t>Esp.</w:t>
      </w:r>
      <w:r>
        <w:tab/>
      </w:r>
      <w:r>
        <w:tab/>
      </w:r>
      <w:r>
        <w:tab/>
        <w:t>Espagne, pays membre de l’</w:t>
      </w:r>
      <w:r w:rsidRPr="00261074">
        <w:rPr>
          <w:u w:val="single"/>
        </w:rPr>
        <w:t>U</w:t>
      </w:r>
      <w:r>
        <w:t xml:space="preserve">nion </w:t>
      </w:r>
      <w:r w:rsidRPr="00261074">
        <w:rPr>
          <w:u w:val="single"/>
        </w:rPr>
        <w:t>E</w:t>
      </w:r>
      <w:r>
        <w:t>uropéenne (UE)</w:t>
      </w:r>
    </w:p>
    <w:p w:rsidR="00687517" w:rsidRDefault="00687517" w:rsidP="00D55DE1">
      <w:pPr>
        <w:spacing w:line="240" w:lineRule="auto"/>
        <w:jc w:val="both"/>
      </w:pPr>
      <w:r>
        <w:t>EVP</w:t>
      </w:r>
      <w:r>
        <w:tab/>
      </w:r>
      <w:r>
        <w:tab/>
      </w:r>
      <w:r>
        <w:tab/>
        <w:t>Équivalent Vingt Pieds, unité de mesure des trafics de conteneurs</w:t>
      </w:r>
    </w:p>
    <w:p w:rsidR="00C2478D" w:rsidRDefault="00C2478D" w:rsidP="00D55DE1">
      <w:pPr>
        <w:spacing w:line="240" w:lineRule="auto"/>
        <w:jc w:val="both"/>
      </w:pPr>
      <w:proofErr w:type="spellStart"/>
      <w:r>
        <w:t>Jo</w:t>
      </w:r>
      <w:r w:rsidR="001D1021">
        <w:t>’</w:t>
      </w:r>
      <w:r>
        <w:t>burg</w:t>
      </w:r>
      <w:proofErr w:type="spellEnd"/>
      <w:r>
        <w:tab/>
      </w:r>
      <w:r w:rsidR="00261074">
        <w:tab/>
      </w:r>
      <w:r w:rsidR="00261074">
        <w:tab/>
      </w:r>
      <w:r>
        <w:t>Johannesburg</w:t>
      </w:r>
    </w:p>
    <w:p w:rsidR="00261074" w:rsidRDefault="00261074" w:rsidP="00D55DE1">
      <w:pPr>
        <w:spacing w:line="240" w:lineRule="auto"/>
        <w:jc w:val="both"/>
      </w:pPr>
      <w:r>
        <w:t>P.</w:t>
      </w:r>
      <w:r>
        <w:tab/>
      </w:r>
      <w:r>
        <w:tab/>
      </w:r>
      <w:r>
        <w:tab/>
        <w:t>Portugal, pays membre de l’</w:t>
      </w:r>
      <w:r w:rsidRPr="00261074">
        <w:rPr>
          <w:u w:val="single"/>
        </w:rPr>
        <w:t>U</w:t>
      </w:r>
      <w:r>
        <w:t xml:space="preserve">nion </w:t>
      </w:r>
      <w:r w:rsidRPr="00261074">
        <w:rPr>
          <w:u w:val="single"/>
        </w:rPr>
        <w:t>E</w:t>
      </w:r>
      <w:r>
        <w:t>uropéenne (UE)</w:t>
      </w:r>
    </w:p>
    <w:p w:rsidR="00146527" w:rsidRDefault="00146527" w:rsidP="00D55DE1">
      <w:pPr>
        <w:spacing w:line="240" w:lineRule="auto"/>
        <w:jc w:val="both"/>
      </w:pPr>
      <w:r>
        <w:t>PPA</w:t>
      </w:r>
      <w:r>
        <w:tab/>
      </w:r>
      <w:r>
        <w:tab/>
      </w:r>
      <w:r>
        <w:tab/>
      </w:r>
      <w:r w:rsidRPr="00146527">
        <w:rPr>
          <w:u w:val="single"/>
        </w:rPr>
        <w:t>P</w:t>
      </w:r>
      <w:r>
        <w:t xml:space="preserve">arité de </w:t>
      </w:r>
      <w:r w:rsidRPr="00146527">
        <w:rPr>
          <w:u w:val="single"/>
        </w:rPr>
        <w:t>P</w:t>
      </w:r>
      <w:r>
        <w:t>ouvoir d’</w:t>
      </w:r>
      <w:r w:rsidRPr="00146527">
        <w:rPr>
          <w:u w:val="single"/>
        </w:rPr>
        <w:t>A</w:t>
      </w:r>
      <w:r>
        <w:t>chat</w:t>
      </w:r>
    </w:p>
    <w:p w:rsidR="002F7360" w:rsidRDefault="002F7360" w:rsidP="00D55DE1">
      <w:pPr>
        <w:spacing w:line="240" w:lineRule="auto"/>
        <w:jc w:val="both"/>
      </w:pPr>
      <w:r>
        <w:t>RDC</w:t>
      </w:r>
      <w:r>
        <w:tab/>
      </w:r>
      <w:r w:rsidR="00261074">
        <w:tab/>
      </w:r>
      <w:r w:rsidR="00261074">
        <w:tab/>
      </w:r>
      <w:r w:rsidRPr="002F7360">
        <w:rPr>
          <w:u w:val="single"/>
        </w:rPr>
        <w:t>R</w:t>
      </w:r>
      <w:r>
        <w:t xml:space="preserve">épublique </w:t>
      </w:r>
      <w:r w:rsidRPr="002F7360">
        <w:rPr>
          <w:u w:val="single"/>
        </w:rPr>
        <w:t>D</w:t>
      </w:r>
      <w:r>
        <w:t xml:space="preserve">émocratique du </w:t>
      </w:r>
      <w:r w:rsidRPr="002F7360">
        <w:rPr>
          <w:u w:val="single"/>
        </w:rPr>
        <w:t>C</w:t>
      </w:r>
      <w:r>
        <w:t>ongo</w:t>
      </w:r>
    </w:p>
    <w:p w:rsidR="009B0BAA" w:rsidRDefault="009B0BAA" w:rsidP="00D55DE1">
      <w:pPr>
        <w:spacing w:line="240" w:lineRule="auto"/>
        <w:jc w:val="both"/>
      </w:pPr>
      <w:r>
        <w:t>RW</w:t>
      </w:r>
      <w:r>
        <w:tab/>
      </w:r>
      <w:r w:rsidR="00261074">
        <w:tab/>
      </w:r>
      <w:r w:rsidR="00261074">
        <w:tab/>
      </w:r>
      <w:r>
        <w:t>Rwanda</w:t>
      </w:r>
    </w:p>
    <w:p w:rsidR="00261074" w:rsidRDefault="00261074" w:rsidP="00D55DE1">
      <w:pPr>
        <w:spacing w:line="240" w:lineRule="auto"/>
        <w:jc w:val="both"/>
      </w:pPr>
      <w:r>
        <w:t>UA</w:t>
      </w:r>
      <w:r>
        <w:tab/>
      </w:r>
      <w:r>
        <w:tab/>
      </w:r>
      <w:r>
        <w:tab/>
      </w:r>
      <w:r w:rsidRPr="00261074">
        <w:rPr>
          <w:u w:val="single"/>
        </w:rPr>
        <w:t>U</w:t>
      </w:r>
      <w:r>
        <w:t xml:space="preserve">nion </w:t>
      </w:r>
      <w:r w:rsidRPr="00261074">
        <w:rPr>
          <w:u w:val="single"/>
        </w:rPr>
        <w:t>A</w:t>
      </w:r>
      <w:r>
        <w:t>fricaine</w:t>
      </w:r>
    </w:p>
    <w:p w:rsidR="00687517" w:rsidRPr="00146527" w:rsidRDefault="00146527" w:rsidP="00D55DE1">
      <w:pPr>
        <w:spacing w:line="240" w:lineRule="auto"/>
        <w:jc w:val="both"/>
      </w:pPr>
      <w:r w:rsidRPr="00146527">
        <w:t>US$</w:t>
      </w:r>
      <w:r w:rsidRPr="00146527">
        <w:tab/>
      </w:r>
      <w:r w:rsidRPr="00146527">
        <w:tab/>
      </w:r>
      <w:r w:rsidRPr="00146527">
        <w:tab/>
      </w:r>
      <w:r w:rsidRPr="00146527">
        <w:rPr>
          <w:i/>
          <w:u w:val="single"/>
        </w:rPr>
        <w:t>U</w:t>
      </w:r>
      <w:r w:rsidRPr="00146527">
        <w:rPr>
          <w:i/>
        </w:rPr>
        <w:t xml:space="preserve">nited </w:t>
      </w:r>
      <w:r w:rsidRPr="00146527">
        <w:rPr>
          <w:i/>
          <w:u w:val="single"/>
        </w:rPr>
        <w:t>S</w:t>
      </w:r>
      <w:r w:rsidRPr="00146527">
        <w:rPr>
          <w:i/>
        </w:rPr>
        <w:t>tate</w:t>
      </w:r>
      <w:r w:rsidR="0048076B">
        <w:rPr>
          <w:i/>
        </w:rPr>
        <w:t>s</w:t>
      </w:r>
      <w:r w:rsidRPr="00146527">
        <w:rPr>
          <w:i/>
        </w:rPr>
        <w:t xml:space="preserve"> Dollar</w:t>
      </w:r>
      <w:r>
        <w:rPr>
          <w:i/>
        </w:rPr>
        <w:t xml:space="preserve"> ($)</w:t>
      </w:r>
      <w:r w:rsidRPr="00146527">
        <w:t xml:space="preserve"> / Dollar fédéral des États-Unis d’Amérique</w:t>
      </w:r>
    </w:p>
    <w:p w:rsidR="00261074" w:rsidRPr="00261074" w:rsidRDefault="003805E0" w:rsidP="00E17ABF">
      <w:pPr>
        <w:jc w:val="both"/>
        <w:rPr>
          <w:b/>
        </w:rPr>
      </w:pPr>
      <w:r w:rsidRPr="003805E0"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58" type="#_x0000_t12" style="position:absolute;left:0;text-align:left;margin-left:331.25pt;margin-top:24.35pt;width:17.8pt;height:16.95pt;z-index:251913216"/>
        </w:pict>
      </w:r>
      <w:r w:rsidR="00261074" w:rsidRPr="00261074">
        <w:rPr>
          <w:b/>
        </w:rPr>
        <w:t>Nomenclature</w:t>
      </w:r>
      <w:r w:rsidR="00261074">
        <w:rPr>
          <w:b/>
        </w:rPr>
        <w:t> </w:t>
      </w:r>
      <w:r w:rsidR="00261074" w:rsidRPr="00261074">
        <w:rPr>
          <w:b/>
        </w:rPr>
        <w:t>:</w:t>
      </w:r>
    </w:p>
    <w:p w:rsidR="00261074" w:rsidRDefault="00261074" w:rsidP="00E17ABF">
      <w:pPr>
        <w:jc w:val="both"/>
      </w:pPr>
      <w:r w:rsidRPr="00687517">
        <w:rPr>
          <w:rFonts w:ascii="French Script MT" w:hAnsi="French Script MT"/>
          <w:color w:val="7030A0"/>
          <w:sz w:val="36"/>
          <w:szCs w:val="36"/>
        </w:rPr>
        <w:t>Océan Atlantique</w:t>
      </w:r>
      <w:r>
        <w:tab/>
        <w:t>Océans, mers, passages maritimes stratégiques</w:t>
      </w:r>
      <w:r w:rsidR="00687517">
        <w:t xml:space="preserve"> (</w:t>
      </w:r>
      <w:r w:rsidR="00687517">
        <w:tab/>
        <w:t>)</w:t>
      </w:r>
      <w:r>
        <w:t>.</w:t>
      </w:r>
    </w:p>
    <w:p w:rsidR="00261074" w:rsidRDefault="00261074" w:rsidP="00E17ABF">
      <w:pPr>
        <w:jc w:val="both"/>
      </w:pPr>
      <w:r w:rsidRPr="00687517">
        <w:rPr>
          <w:rFonts w:ascii="Comic Sans MS" w:hAnsi="Comic Sans MS"/>
          <w:b/>
          <w:i/>
        </w:rPr>
        <w:t>Sahara</w:t>
      </w:r>
      <w:r w:rsidR="00687517">
        <w:tab/>
      </w:r>
      <w:r w:rsidR="00687517">
        <w:tab/>
      </w:r>
      <w:r>
        <w:t>Grands ensembles du relief, contraintes naturelles fortes</w:t>
      </w:r>
    </w:p>
    <w:p w:rsidR="00261074" w:rsidRDefault="00261074" w:rsidP="00E17ABF">
      <w:pPr>
        <w:jc w:val="both"/>
      </w:pPr>
      <w:r>
        <w:t>NIGER</w:t>
      </w:r>
      <w:r>
        <w:tab/>
      </w:r>
      <w:r>
        <w:tab/>
      </w:r>
      <w:r>
        <w:tab/>
        <w:t>États emblématiques des différents stades d’insertion de l’Afrique dans la mondialisation</w:t>
      </w:r>
    </w:p>
    <w:p w:rsidR="00261074" w:rsidRDefault="00687517" w:rsidP="00E17ABF">
      <w:pPr>
        <w:jc w:val="both"/>
      </w:pPr>
      <w:r w:rsidRPr="00687517">
        <w:rPr>
          <w:rFonts w:ascii="Comic Sans MS" w:hAnsi="Comic Sans MS"/>
          <w:u w:val="single"/>
        </w:rPr>
        <w:t>Alger</w:t>
      </w:r>
      <w:r w:rsidRPr="00687517">
        <w:rPr>
          <w:rFonts w:ascii="Comic Sans MS" w:hAnsi="Comic Sans MS"/>
        </w:rPr>
        <w:t xml:space="preserve"> / Tanger</w:t>
      </w:r>
      <w:r>
        <w:tab/>
        <w:t>Principales capitales d’États / Principales métropoles africaines</w:t>
      </w:r>
    </w:p>
    <w:p w:rsidR="00687517" w:rsidRPr="00F83A4C" w:rsidRDefault="00F83A4C" w:rsidP="00E17ABF">
      <w:pPr>
        <w:jc w:val="both"/>
      </w:pPr>
      <w:r w:rsidRPr="00F83A4C">
        <w:rPr>
          <w:rFonts w:ascii="Comic Sans MS" w:hAnsi="Comic Sans MS"/>
          <w:b/>
          <w:i/>
          <w:u w:val="single"/>
        </w:rPr>
        <w:t>Canaries</w:t>
      </w:r>
      <w:r w:rsidRPr="00F83A4C">
        <w:tab/>
      </w:r>
      <w:r w:rsidRPr="00F83A4C">
        <w:tab/>
      </w:r>
      <w:r w:rsidRPr="00F83A4C">
        <w:rPr>
          <w:u w:val="single"/>
        </w:rPr>
        <w:t>R</w:t>
      </w:r>
      <w:r>
        <w:t xml:space="preserve">égions </w:t>
      </w:r>
      <w:r w:rsidRPr="00F83A4C">
        <w:rPr>
          <w:u w:val="single"/>
        </w:rPr>
        <w:t>U</w:t>
      </w:r>
      <w:r>
        <w:t xml:space="preserve">ltra </w:t>
      </w:r>
      <w:r w:rsidRPr="00F83A4C">
        <w:rPr>
          <w:u w:val="single"/>
        </w:rPr>
        <w:t>P</w:t>
      </w:r>
      <w:r>
        <w:t>ériphériques (RUP) de l’UE avec la métropole correspondante</w:t>
      </w:r>
    </w:p>
    <w:p w:rsidR="00261074" w:rsidRPr="00687517" w:rsidRDefault="003805E0" w:rsidP="00E17ABF">
      <w:pPr>
        <w:jc w:val="both"/>
        <w:rPr>
          <w:b/>
        </w:rPr>
      </w:pPr>
      <w:r w:rsidRPr="003805E0">
        <w:rPr>
          <w:noProof/>
          <w:lang w:eastAsia="fr-FR"/>
        </w:rPr>
        <w:pict>
          <v:oval id="_x0000_s1260" style="position:absolute;left:0;text-align:left;margin-left:3.35pt;margin-top:24.85pt;width:10.65pt;height:10.65pt;z-index:251915264" strokeweight="4.5pt">
            <v:stroke linestyle="thickThin"/>
          </v:oval>
        </w:pict>
      </w:r>
      <w:r w:rsidR="00261074" w:rsidRPr="00687517">
        <w:rPr>
          <w:b/>
        </w:rPr>
        <w:t>Légende :</w:t>
      </w:r>
    </w:p>
    <w:p w:rsidR="00261074" w:rsidRDefault="003805E0" w:rsidP="00687517">
      <w:pPr>
        <w:ind w:left="2127"/>
        <w:jc w:val="both"/>
      </w:pPr>
      <w:r>
        <w:rPr>
          <w:noProof/>
          <w:lang w:eastAsia="fr-FR"/>
        </w:rPr>
        <w:pict>
          <v:oval id="_x0000_s1259" style="position:absolute;left:0;text-align:left;margin-left:1.85pt;margin-top:17.95pt;width:53.25pt;height:50.75pt;z-index:251914240" fillcolor="#bfbfbf [2412]" strokecolor="#5a5a5a [2109]" strokeweight="2.25pt">
            <v:fill opacity=".5" color2="white [3212]" o:opacity2=".5" rotate="t" focusposition=".5,.5" focussize="" type="gradientRadial"/>
            <v:stroke dashstyle="1 1" endcap="round"/>
          </v:oval>
        </w:pict>
      </w:r>
      <w:r w:rsidR="00687517">
        <w:t>Siège de l’UA, en Éthiopie, un des États africains à n’avoir jamais été colonisé. </w:t>
      </w:r>
    </w:p>
    <w:p w:rsidR="00261074" w:rsidRDefault="003805E0" w:rsidP="00687517">
      <w:pPr>
        <w:ind w:left="2127"/>
        <w:jc w:val="both"/>
      </w:pPr>
      <w:r>
        <w:rPr>
          <w:noProof/>
          <w:lang w:eastAsia="fr-FR"/>
        </w:rPr>
        <w:pict>
          <v:roundrect id="_x0000_s1267" style="position:absolute;left:0;text-align:left;margin-left:29.6pt;margin-top:12.1pt;width:65.3pt;height:31.2pt;z-index:251922432" arcsize=".5" filled="f" strokecolor="black [3213]" strokeweight=".5pt">
            <v:stroke dashstyle="1 1" endcap="round"/>
          </v:roundrect>
        </w:pict>
      </w:r>
      <w:r w:rsidR="00687517">
        <w:t>Aires urbaines de plus de 10 millions d’habitants, principales portes d’entrée de la mondialisation en Afrique. </w:t>
      </w:r>
      <w:r w:rsidR="00146527">
        <w:t>Conurbation Lagos / Ibadan – Accra / Takoradi – Abidjan en cours.</w:t>
      </w:r>
    </w:p>
    <w:p w:rsidR="00687517" w:rsidRDefault="003805E0" w:rsidP="00687517">
      <w:pPr>
        <w:ind w:left="2127"/>
        <w:jc w:val="both"/>
      </w:pPr>
      <w:r>
        <w:rPr>
          <w:noProof/>
          <w:lang w:eastAsia="fr-FR"/>
        </w:rPr>
        <w:pict>
          <v:rect id="_x0000_s1261" style="position:absolute;left:0;text-align:left;margin-left:3.35pt;margin-top:16.2pt;width:20.85pt;height:18.65pt;z-index:251916288" strokeweight="4.5pt">
            <v:stroke linestyle="thickThin"/>
          </v:rect>
        </w:pict>
      </w:r>
    </w:p>
    <w:p w:rsidR="00687517" w:rsidRDefault="00687517" w:rsidP="00687517">
      <w:pPr>
        <w:ind w:left="2127"/>
        <w:jc w:val="both"/>
      </w:pPr>
      <w:r>
        <w:t>Ports de marchandises d’un trafic supérieur à 1 millions de conteneurs EVP.</w:t>
      </w:r>
    </w:p>
    <w:p w:rsidR="00146527" w:rsidRPr="00146527" w:rsidRDefault="00146527" w:rsidP="00687517">
      <w:pPr>
        <w:ind w:left="2127"/>
        <w:jc w:val="both"/>
        <w:rPr>
          <w:b/>
          <w:i/>
        </w:rPr>
      </w:pPr>
      <w:r w:rsidRPr="00146527">
        <w:rPr>
          <w:b/>
          <w:i/>
        </w:rPr>
        <w:t>Les espaces de la mondialisation</w:t>
      </w:r>
    </w:p>
    <w:p w:rsidR="00687517" w:rsidRPr="00146527" w:rsidRDefault="00146527" w:rsidP="00687517">
      <w:pPr>
        <w:ind w:left="2127"/>
        <w:jc w:val="both"/>
        <w:rPr>
          <w:i/>
        </w:rPr>
      </w:pPr>
      <w:r>
        <w:rPr>
          <w:i/>
        </w:rPr>
        <w:t>(</w:t>
      </w:r>
      <w:r w:rsidRPr="00146527">
        <w:rPr>
          <w:i/>
        </w:rPr>
        <w:t>Parts de la population sortie des stratégies de survie et gagnant entre 2 et 20 US$/PPA/</w:t>
      </w:r>
      <w:r>
        <w:rPr>
          <w:i/>
        </w:rPr>
        <w:t>jour)</w:t>
      </w:r>
    </w:p>
    <w:p w:rsidR="00687517" w:rsidRDefault="003805E0" w:rsidP="00687517">
      <w:pPr>
        <w:ind w:left="2127"/>
        <w:jc w:val="both"/>
      </w:pPr>
      <w:r>
        <w:rPr>
          <w:noProof/>
          <w:lang w:eastAsia="fr-FR"/>
        </w:rPr>
        <w:pict>
          <v:rect id="_x0000_s1264" style="position:absolute;left:0;text-align:left;margin-left:1.7pt;margin-top:24.75pt;width:48.9pt;height:24pt;z-index:251919360" fillcolor="#d8d8d8 [2732]"/>
        </w:pict>
      </w:r>
      <w:r>
        <w:rPr>
          <w:noProof/>
          <w:lang w:eastAsia="fr-FR"/>
        </w:rPr>
        <w:pict>
          <v:rect id="_x0000_s1262" style="position:absolute;left:0;text-align:left;margin-left:1.7pt;margin-top:.75pt;width:48.9pt;height:24pt;z-index:251917312" fillcolor="#a5a5a5 [2092]"/>
        </w:pict>
      </w:r>
      <w:r>
        <w:rPr>
          <w:noProof/>
          <w:lang w:eastAsia="fr-FR"/>
        </w:rPr>
        <w:pict>
          <v:rect id="_x0000_s1265" style="position:absolute;left:0;text-align:left;margin-left:1.1pt;margin-top:48.75pt;width:48.9pt;height:24pt;z-index:251920384"/>
        </w:pict>
      </w:r>
      <w:r>
        <w:rPr>
          <w:noProof/>
          <w:lang w:eastAsia="fr-FR"/>
        </w:rPr>
        <w:pict>
          <v:rect id="_x0000_s1266" style="position:absolute;left:0;text-align:left;margin-left:1.85pt;margin-top:72.75pt;width:48.9pt;height:24pt;z-index:251921408" strokecolor="#5a5a5a [2109]" strokeweight="3pt"/>
        </w:pict>
      </w:r>
      <w:r w:rsidR="00146527">
        <w:t>Plus de 70% de la population gagne entre 2 et 20US$/jour/PPA</w:t>
      </w:r>
    </w:p>
    <w:p w:rsidR="00146527" w:rsidRDefault="00146527" w:rsidP="00687517">
      <w:pPr>
        <w:ind w:left="2127"/>
        <w:jc w:val="both"/>
      </w:pPr>
      <w:r>
        <w:t>Entre 40% et 70%</w:t>
      </w:r>
    </w:p>
    <w:p w:rsidR="00146527" w:rsidRDefault="00146527" w:rsidP="00687517">
      <w:pPr>
        <w:ind w:left="2127"/>
        <w:jc w:val="both"/>
      </w:pPr>
      <w:r>
        <w:t>Entre 15% et 40%</w:t>
      </w:r>
    </w:p>
    <w:p w:rsidR="00146527" w:rsidRDefault="00146527" w:rsidP="00687517">
      <w:pPr>
        <w:ind w:left="2127"/>
        <w:jc w:val="both"/>
      </w:pPr>
      <w:r>
        <w:t>Moins de 15%</w:t>
      </w:r>
    </w:p>
    <w:p w:rsidR="00D55DE1" w:rsidRDefault="003805E0" w:rsidP="00687517">
      <w:pPr>
        <w:ind w:left="2127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position:absolute;left:0;text-align:left;margin-left:-2.55pt;margin-top:4.05pt;width:36.65pt;height:20.6pt;z-index:251964416" filled="f" stroked="f">
            <v:textbox>
              <w:txbxContent>
                <w:p w:rsidR="00224FCB" w:rsidRDefault="00224FCB" w:rsidP="00224FCB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8" style="position:absolute;left:0;text-align:left;margin-left:22.45pt;margin-top:9.95pt;width:47.65pt;height:3.75pt;z-index:251963392" coordsize="563,75" path="m,75c199,55,469,12,563,e" filled="f" strokeweight="4.5pt">
            <v:stroke r:id="rId4" o:title="" filltype="pattern"/>
            <v:path arrowok="t"/>
          </v:shape>
        </w:pict>
      </w:r>
      <w:r w:rsidR="00224FCB">
        <w:t>Ligne des isohyètes 200</w:t>
      </w:r>
      <w:r w:rsidR="009B2F3C">
        <w:t xml:space="preserve"> mm</w:t>
      </w:r>
      <w:r w:rsidR="00224FCB">
        <w:t xml:space="preserve">, limite sud du désert du Sahara. La ligne des isohyètes 700 </w:t>
      </w:r>
      <w:r w:rsidR="009B2F3C">
        <w:t>mm située</w:t>
      </w:r>
      <w:r w:rsidR="00224FCB">
        <w:t xml:space="preserve"> environ 500 km au Sud marque la limite Sud du Sahel, steppe arbustive sèche. </w:t>
      </w:r>
    </w:p>
    <w:sectPr w:rsidR="00D55DE1" w:rsidSect="00E17AB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ABF"/>
    <w:rsid w:val="0000180E"/>
    <w:rsid w:val="00016F43"/>
    <w:rsid w:val="000D0CFC"/>
    <w:rsid w:val="000F74AF"/>
    <w:rsid w:val="00106B10"/>
    <w:rsid w:val="00133DC1"/>
    <w:rsid w:val="00146527"/>
    <w:rsid w:val="00147BF6"/>
    <w:rsid w:val="001503C0"/>
    <w:rsid w:val="001A5800"/>
    <w:rsid w:val="001A776D"/>
    <w:rsid w:val="001D1021"/>
    <w:rsid w:val="001F0482"/>
    <w:rsid w:val="001F677F"/>
    <w:rsid w:val="00206923"/>
    <w:rsid w:val="00224FCB"/>
    <w:rsid w:val="002524F5"/>
    <w:rsid w:val="00261074"/>
    <w:rsid w:val="00283B09"/>
    <w:rsid w:val="00291715"/>
    <w:rsid w:val="002E2750"/>
    <w:rsid w:val="002E487C"/>
    <w:rsid w:val="002F7360"/>
    <w:rsid w:val="0031268E"/>
    <w:rsid w:val="0035607D"/>
    <w:rsid w:val="00376BAE"/>
    <w:rsid w:val="003805E0"/>
    <w:rsid w:val="003A1DEF"/>
    <w:rsid w:val="003A32AE"/>
    <w:rsid w:val="003B3DF0"/>
    <w:rsid w:val="003D4D70"/>
    <w:rsid w:val="003D5CC3"/>
    <w:rsid w:val="003F381E"/>
    <w:rsid w:val="00406E74"/>
    <w:rsid w:val="0048076B"/>
    <w:rsid w:val="004D3D3F"/>
    <w:rsid w:val="0056471B"/>
    <w:rsid w:val="005705EF"/>
    <w:rsid w:val="005A1156"/>
    <w:rsid w:val="00604C3F"/>
    <w:rsid w:val="00615B25"/>
    <w:rsid w:val="00687517"/>
    <w:rsid w:val="00693248"/>
    <w:rsid w:val="0075561C"/>
    <w:rsid w:val="007C008D"/>
    <w:rsid w:val="008414F6"/>
    <w:rsid w:val="008639B8"/>
    <w:rsid w:val="008B4624"/>
    <w:rsid w:val="008D6AC9"/>
    <w:rsid w:val="009735A8"/>
    <w:rsid w:val="009B0BAA"/>
    <w:rsid w:val="009B2F3C"/>
    <w:rsid w:val="00A2654C"/>
    <w:rsid w:val="00A962C3"/>
    <w:rsid w:val="00AA7A13"/>
    <w:rsid w:val="00AE1A39"/>
    <w:rsid w:val="00B05F72"/>
    <w:rsid w:val="00B12D5C"/>
    <w:rsid w:val="00B132A9"/>
    <w:rsid w:val="00B30A34"/>
    <w:rsid w:val="00B665D5"/>
    <w:rsid w:val="00B863C9"/>
    <w:rsid w:val="00B91981"/>
    <w:rsid w:val="00BB4D5C"/>
    <w:rsid w:val="00BC79C1"/>
    <w:rsid w:val="00C00840"/>
    <w:rsid w:val="00C2478D"/>
    <w:rsid w:val="00C25383"/>
    <w:rsid w:val="00C3784B"/>
    <w:rsid w:val="00C639D5"/>
    <w:rsid w:val="00C760F3"/>
    <w:rsid w:val="00C974B8"/>
    <w:rsid w:val="00CB0E67"/>
    <w:rsid w:val="00D435DC"/>
    <w:rsid w:val="00D45C14"/>
    <w:rsid w:val="00D55DE1"/>
    <w:rsid w:val="00D86BF7"/>
    <w:rsid w:val="00DB6378"/>
    <w:rsid w:val="00E1518B"/>
    <w:rsid w:val="00E17ABF"/>
    <w:rsid w:val="00E46ECA"/>
    <w:rsid w:val="00E804DB"/>
    <w:rsid w:val="00EF3813"/>
    <w:rsid w:val="00F338CB"/>
    <w:rsid w:val="00F62005"/>
    <w:rsid w:val="00F80702"/>
    <w:rsid w:val="00F83A4C"/>
    <w:rsid w:val="00F90FE3"/>
    <w:rsid w:val="00F9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69696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B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B0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Admin</cp:lastModifiedBy>
  <cp:revision>7</cp:revision>
  <dcterms:created xsi:type="dcterms:W3CDTF">2015-12-25T12:21:00Z</dcterms:created>
  <dcterms:modified xsi:type="dcterms:W3CDTF">2015-12-25T23:27:00Z</dcterms:modified>
</cp:coreProperties>
</file>