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1B1" w:rsidRDefault="00A136B0" w:rsidP="002111B1">
      <w:pPr>
        <w:jc w:val="both"/>
      </w:pPr>
      <w:r>
        <w:t>Légende :</w:t>
      </w:r>
    </w:p>
    <w:p w:rsidR="00207E12" w:rsidRDefault="00207E12" w:rsidP="00207E12">
      <w:pPr>
        <w:jc w:val="both"/>
        <w:rPr>
          <w:b/>
          <w:color w:val="FF0000"/>
          <w:sz w:val="24"/>
          <w:szCs w:val="24"/>
        </w:rPr>
      </w:pPr>
      <w:r>
        <w:rPr>
          <w:b/>
          <w:color w:val="FF0000"/>
          <w:sz w:val="24"/>
          <w:szCs w:val="24"/>
        </w:rPr>
        <w:t>I. </w:t>
      </w:r>
      <w:r w:rsidR="00A136B0" w:rsidRPr="00207E12">
        <w:rPr>
          <w:b/>
          <w:color w:val="FF0000"/>
          <w:sz w:val="24"/>
          <w:szCs w:val="24"/>
        </w:rPr>
        <w:t>Un réseau urbain centré sur Paris, ville-mondiale intégré à l’Ar</w:t>
      </w:r>
      <w:r>
        <w:rPr>
          <w:b/>
          <w:color w:val="FF0000"/>
          <w:sz w:val="24"/>
          <w:szCs w:val="24"/>
        </w:rPr>
        <w:t>chipel Métropolitain Mondial AMM</w:t>
      </w: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8655"/>
      </w:tblGrid>
      <w:tr w:rsidR="00207E12" w:rsidTr="0083451C">
        <w:tc>
          <w:tcPr>
            <w:tcW w:w="1951" w:type="dxa"/>
          </w:tcPr>
          <w:p w:rsidR="00207E12" w:rsidRDefault="00F96229" w:rsidP="0083451C">
            <w:pPr>
              <w:jc w:val="both"/>
              <w:rPr>
                <w:b/>
                <w:color w:val="002060"/>
              </w:rPr>
            </w:pPr>
            <w:r>
              <w:rPr>
                <w:b/>
                <w:noProof/>
                <w:color w:val="002060"/>
                <w:lang w:eastAsia="fr-FR"/>
              </w:rPr>
              <w:pict>
                <v:oval id="_x0000_s1113" style="position:absolute;left:0;text-align:left;margin-left:17.7pt;margin-top:6.8pt;width:38.85pt;height:36pt;z-index:251785728" fillcolor="#7030a0"/>
              </w:pict>
            </w:r>
          </w:p>
          <w:p w:rsidR="00207E12" w:rsidRDefault="00207E12" w:rsidP="0083451C">
            <w:pPr>
              <w:jc w:val="both"/>
              <w:rPr>
                <w:b/>
                <w:color w:val="002060"/>
              </w:rPr>
            </w:pPr>
          </w:p>
          <w:p w:rsidR="00207E12" w:rsidRDefault="00207E12" w:rsidP="0083451C">
            <w:pPr>
              <w:jc w:val="both"/>
              <w:rPr>
                <w:b/>
                <w:color w:val="002060"/>
              </w:rPr>
            </w:pPr>
          </w:p>
          <w:p w:rsidR="00207E12" w:rsidRDefault="00207E12" w:rsidP="0083451C">
            <w:pPr>
              <w:jc w:val="both"/>
              <w:rPr>
                <w:b/>
                <w:color w:val="002060"/>
              </w:rPr>
            </w:pPr>
          </w:p>
        </w:tc>
        <w:tc>
          <w:tcPr>
            <w:tcW w:w="8655" w:type="dxa"/>
          </w:tcPr>
          <w:p w:rsidR="00207E12" w:rsidRDefault="00207E12" w:rsidP="0083451C">
            <w:pPr>
              <w:jc w:val="both"/>
              <w:rPr>
                <w:b/>
                <w:color w:val="002060"/>
              </w:rPr>
            </w:pPr>
            <w:r>
              <w:rPr>
                <w:b/>
                <w:color w:val="002060"/>
              </w:rPr>
              <w:t>Les villes mondiales (Saskia SASSEN) intégrées dans l’Archipel Métropolitaine Mondial (AMM), un réseau de villes mondiales. Plus de 8 millions d’habitants en moyenne. Rôle de métropole à toutes les échelles. Concentre les activités quaternaires (Services rares à haute valeur ajoutée). Population à hauts revenus. Hub aérien et portuaire d’influence mondiale. Sièges d’institutions internationales, d’administrations publiques nationales et de FTN.</w:t>
            </w:r>
          </w:p>
        </w:tc>
      </w:tr>
      <w:tr w:rsidR="00207E12" w:rsidTr="0083451C">
        <w:tc>
          <w:tcPr>
            <w:tcW w:w="1951" w:type="dxa"/>
          </w:tcPr>
          <w:p w:rsidR="00207E12" w:rsidRDefault="00F96229" w:rsidP="0083451C">
            <w:pPr>
              <w:jc w:val="both"/>
              <w:rPr>
                <w:b/>
                <w:color w:val="002060"/>
              </w:rPr>
            </w:pPr>
            <w:r>
              <w:rPr>
                <w:b/>
                <w:noProof/>
                <w:color w:val="002060"/>
                <w:lang w:eastAsia="fr-FR"/>
              </w:rPr>
              <w:pict>
                <v:oval id="_x0000_s1114" style="position:absolute;left:0;text-align:left;margin-left:8.7pt;margin-top:10.9pt;width:21.2pt;height:19.7pt;z-index:251786752;mso-position-horizontal-relative:text;mso-position-vertical-relative:text" fillcolor="#7030a0"/>
              </w:pict>
            </w:r>
          </w:p>
          <w:p w:rsidR="00207E12" w:rsidRDefault="00F96229" w:rsidP="0083451C">
            <w:pPr>
              <w:jc w:val="both"/>
              <w:rPr>
                <w:b/>
                <w:color w:val="002060"/>
              </w:rPr>
            </w:pPr>
            <w:r>
              <w:rPr>
                <w:b/>
                <w:noProof/>
                <w:color w:val="002060"/>
                <w:lang w:eastAsia="fr-FR"/>
              </w:rPr>
              <w:pict>
                <v:oval id="_x0000_s1115" style="position:absolute;left:0;text-align:left;margin-left:53.6pt;margin-top:1.85pt;width:12.8pt;height:12.05pt;z-index:251787776" fillcolor="#7030a0"/>
              </w:pict>
            </w:r>
          </w:p>
          <w:p w:rsidR="00207E12" w:rsidRDefault="00207E12" w:rsidP="0083451C">
            <w:pPr>
              <w:jc w:val="both"/>
              <w:rPr>
                <w:b/>
                <w:color w:val="002060"/>
              </w:rPr>
            </w:pPr>
          </w:p>
        </w:tc>
        <w:tc>
          <w:tcPr>
            <w:tcW w:w="8655" w:type="dxa"/>
          </w:tcPr>
          <w:p w:rsidR="00207E12" w:rsidRDefault="00207E12" w:rsidP="0083451C">
            <w:pPr>
              <w:jc w:val="both"/>
              <w:rPr>
                <w:b/>
                <w:color w:val="002060"/>
              </w:rPr>
            </w:pPr>
            <w:r>
              <w:rPr>
                <w:b/>
                <w:color w:val="002060"/>
              </w:rPr>
              <w:t xml:space="preserve">Métropoles d’influence continentale et régionale, métropoles secondaires. Intégrées dans un réseau urbain continental ou régional, indirectement connectées via les villes mondiales à l’AMM. Population riche, diplômée, plus jeune que la moyenne nationale, concentration d’entreprises dynamiques, de centres de recherche, de sièges d’institution et d’administrations. </w:t>
            </w:r>
          </w:p>
        </w:tc>
      </w:tr>
      <w:tr w:rsidR="00207E12" w:rsidTr="0083451C">
        <w:tc>
          <w:tcPr>
            <w:tcW w:w="1951" w:type="dxa"/>
          </w:tcPr>
          <w:p w:rsidR="00207E12" w:rsidRDefault="00F96229" w:rsidP="0083451C">
            <w:pPr>
              <w:jc w:val="both"/>
              <w:rPr>
                <w:b/>
                <w:color w:val="002060"/>
              </w:rPr>
            </w:pPr>
            <w:r>
              <w:rPr>
                <w:b/>
                <w:noProof/>
                <w:color w:val="002060"/>
                <w:lang w:eastAsia="fr-FR"/>
              </w:rPr>
              <w:pict>
                <v:roundrect id="_x0000_s1116" style="position:absolute;left:0;text-align:left;margin-left:0;margin-top:6.65pt;width:50.5pt;height:21.5pt;z-index:251788800;mso-position-horizontal-relative:text;mso-position-vertical-relative:text" arcsize=".5" strokecolor="#7030a0" strokeweight="3pt"/>
              </w:pict>
            </w:r>
          </w:p>
          <w:p w:rsidR="00207E12" w:rsidRDefault="00207E12" w:rsidP="0083451C">
            <w:pPr>
              <w:jc w:val="both"/>
              <w:rPr>
                <w:b/>
                <w:color w:val="002060"/>
              </w:rPr>
            </w:pPr>
          </w:p>
          <w:p w:rsidR="00207E12" w:rsidRDefault="00207E12" w:rsidP="0083451C">
            <w:pPr>
              <w:jc w:val="both"/>
              <w:rPr>
                <w:b/>
                <w:color w:val="002060"/>
              </w:rPr>
            </w:pPr>
          </w:p>
          <w:p w:rsidR="00207E12" w:rsidRDefault="00F96229" w:rsidP="0083451C">
            <w:pPr>
              <w:jc w:val="both"/>
              <w:rPr>
                <w:b/>
                <w:color w:val="002060"/>
              </w:rPr>
            </w:pPr>
            <w:r>
              <w:rPr>
                <w:b/>
                <w:noProof/>
                <w:color w:val="002060"/>
                <w:lang w:eastAsia="fr-FR"/>
              </w:rPr>
              <w:pict>
                <v:roundrect id="_x0000_s1117" style="position:absolute;left:0;text-align:left;margin-left:0;margin-top:-.15pt;width:50.5pt;height:21.5pt;z-index:251789824" arcsize=".5" strokecolor="#7030a0" strokeweight="3pt">
                  <v:stroke dashstyle="1 1"/>
                </v:roundrect>
              </w:pict>
            </w:r>
          </w:p>
          <w:p w:rsidR="00207E12" w:rsidRDefault="00207E12" w:rsidP="0083451C">
            <w:pPr>
              <w:jc w:val="both"/>
              <w:rPr>
                <w:b/>
                <w:color w:val="002060"/>
              </w:rPr>
            </w:pPr>
          </w:p>
        </w:tc>
        <w:tc>
          <w:tcPr>
            <w:tcW w:w="8655" w:type="dxa"/>
          </w:tcPr>
          <w:p w:rsidR="00207E12" w:rsidRDefault="00207E12" w:rsidP="0083451C">
            <w:pPr>
              <w:jc w:val="both"/>
              <w:rPr>
                <w:b/>
                <w:color w:val="002060"/>
              </w:rPr>
            </w:pPr>
            <w:r>
              <w:rPr>
                <w:b/>
                <w:color w:val="002060"/>
              </w:rPr>
              <w:t>Mégalopoles. Mégalopoles en constitution. Conurbation de villes mondiales et de métropoles principales. Les centres de chacun des pôles de la Triade, impulsent les rythmes économiques, les idées, les modes et les découvertes à l’échelle mondiale. Ce sont le cœur de la mondialisation.</w:t>
            </w:r>
          </w:p>
        </w:tc>
      </w:tr>
      <w:tr w:rsidR="00207E12" w:rsidTr="0083451C">
        <w:tc>
          <w:tcPr>
            <w:tcW w:w="1951" w:type="dxa"/>
          </w:tcPr>
          <w:p w:rsidR="00207E12" w:rsidRDefault="00F96229" w:rsidP="0083451C">
            <w:pPr>
              <w:jc w:val="both"/>
              <w:rPr>
                <w:b/>
                <w:color w:val="002060"/>
              </w:rPr>
            </w:pPr>
            <w:r>
              <w:rPr>
                <w:b/>
                <w:noProof/>
                <w:color w:val="002060"/>
                <w:lang w:eastAsia="fr-FR"/>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120" type="#_x0000_t12" style="position:absolute;left:0;text-align:left;margin-left:11.15pt;margin-top:6.45pt;width:30.45pt;height:33.05pt;z-index:251792896;mso-position-horizontal-relative:text;mso-position-vertical-relative:text" fillcolor="red" stroked="f"/>
              </w:pict>
            </w:r>
          </w:p>
          <w:p w:rsidR="00207E12" w:rsidRDefault="00207E12" w:rsidP="0083451C">
            <w:pPr>
              <w:jc w:val="both"/>
              <w:rPr>
                <w:b/>
                <w:color w:val="002060"/>
              </w:rPr>
            </w:pPr>
          </w:p>
          <w:p w:rsidR="00207E12" w:rsidRDefault="00207E12" w:rsidP="0083451C">
            <w:pPr>
              <w:jc w:val="both"/>
              <w:rPr>
                <w:b/>
                <w:color w:val="002060"/>
              </w:rPr>
            </w:pPr>
          </w:p>
          <w:p w:rsidR="00207E12" w:rsidRDefault="00207E12" w:rsidP="0083451C">
            <w:pPr>
              <w:jc w:val="both"/>
              <w:rPr>
                <w:b/>
                <w:color w:val="002060"/>
              </w:rPr>
            </w:pPr>
          </w:p>
        </w:tc>
        <w:tc>
          <w:tcPr>
            <w:tcW w:w="8655" w:type="dxa"/>
          </w:tcPr>
          <w:p w:rsidR="00207E12" w:rsidRDefault="00207E12" w:rsidP="0083451C">
            <w:pPr>
              <w:jc w:val="both"/>
              <w:rPr>
                <w:b/>
                <w:color w:val="002060"/>
              </w:rPr>
            </w:pPr>
            <w:r>
              <w:rPr>
                <w:b/>
                <w:color w:val="002060"/>
              </w:rPr>
              <w:t>Les centres de commandements politiques. Nationaux et internationaux. Capitales politiques des États et des OIG. La concentration des pouvoirs est un atout car c’est un gage d’attractivité.</w:t>
            </w:r>
          </w:p>
        </w:tc>
      </w:tr>
      <w:tr w:rsidR="00207E12" w:rsidTr="0083451C">
        <w:tc>
          <w:tcPr>
            <w:tcW w:w="1951" w:type="dxa"/>
          </w:tcPr>
          <w:p w:rsidR="00207E12" w:rsidRDefault="00F96229" w:rsidP="0083451C">
            <w:pPr>
              <w:jc w:val="both"/>
              <w:rPr>
                <w:b/>
                <w:color w:val="002060"/>
              </w:rPr>
            </w:pPr>
            <w:r>
              <w:rPr>
                <w:b/>
                <w:noProof/>
                <w:color w:val="002060"/>
                <w:lang w:eastAsia="fr-FR"/>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19" type="#_x0000_t5" style="position:absolute;left:0;text-align:left;margin-left:11.15pt;margin-top:4.35pt;width:26.7pt;height:25.85pt;z-index:251791872;mso-position-horizontal-relative:text;mso-position-vertical-relative:text" fillcolor="red" stroked="f"/>
              </w:pict>
            </w:r>
          </w:p>
          <w:p w:rsidR="00207E12" w:rsidRDefault="00207E12" w:rsidP="0083451C">
            <w:pPr>
              <w:jc w:val="both"/>
              <w:rPr>
                <w:b/>
                <w:color w:val="002060"/>
              </w:rPr>
            </w:pPr>
          </w:p>
          <w:p w:rsidR="00207E12" w:rsidRDefault="00207E12" w:rsidP="0083451C">
            <w:pPr>
              <w:jc w:val="both"/>
              <w:rPr>
                <w:b/>
                <w:color w:val="002060"/>
              </w:rPr>
            </w:pPr>
          </w:p>
        </w:tc>
        <w:tc>
          <w:tcPr>
            <w:tcW w:w="8655" w:type="dxa"/>
          </w:tcPr>
          <w:p w:rsidR="00207E12" w:rsidRDefault="00207E12" w:rsidP="0083451C">
            <w:pPr>
              <w:jc w:val="both"/>
              <w:rPr>
                <w:b/>
                <w:color w:val="002060"/>
              </w:rPr>
            </w:pPr>
            <w:r>
              <w:rPr>
                <w:b/>
                <w:color w:val="002060"/>
              </w:rPr>
              <w:t>Les places financières. Les entreprises de cotation des valeurs économiques, les investisseurs spécialisés (les fonds d’investissement et de pensions, les banques d’investissements, les sociétés de change, les compagnies d’assurance et les sociétés de commerce) : ils émettent des flux financiers et en attirent.</w:t>
            </w:r>
          </w:p>
        </w:tc>
      </w:tr>
      <w:tr w:rsidR="00207E12" w:rsidTr="0083451C">
        <w:tc>
          <w:tcPr>
            <w:tcW w:w="1951" w:type="dxa"/>
          </w:tcPr>
          <w:p w:rsidR="00207E12" w:rsidRDefault="00F96229" w:rsidP="0083451C">
            <w:pPr>
              <w:jc w:val="both"/>
              <w:rPr>
                <w:b/>
                <w:color w:val="002060"/>
              </w:rPr>
            </w:pPr>
            <w:r>
              <w:rPr>
                <w:b/>
                <w:noProof/>
                <w:color w:val="002060"/>
                <w:lang w:eastAsia="fr-FR"/>
              </w:rPr>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1118" type="#_x0000_t56" style="position:absolute;left:0;text-align:left;margin-left:13.6pt;margin-top:2.75pt;width:28pt;height:28.85pt;z-index:251790848;mso-position-horizontal-relative:text;mso-position-vertical-relative:text" fillcolor="red" stroked="f"/>
              </w:pict>
            </w:r>
          </w:p>
          <w:p w:rsidR="00207E12" w:rsidRDefault="00207E12" w:rsidP="0083451C">
            <w:pPr>
              <w:jc w:val="both"/>
              <w:rPr>
                <w:b/>
                <w:color w:val="002060"/>
              </w:rPr>
            </w:pPr>
          </w:p>
          <w:p w:rsidR="00207E12" w:rsidRDefault="00207E12" w:rsidP="0083451C">
            <w:pPr>
              <w:jc w:val="both"/>
              <w:rPr>
                <w:b/>
                <w:color w:val="002060"/>
              </w:rPr>
            </w:pPr>
          </w:p>
        </w:tc>
        <w:tc>
          <w:tcPr>
            <w:tcW w:w="8655" w:type="dxa"/>
          </w:tcPr>
          <w:p w:rsidR="00207E12" w:rsidRDefault="00207E12" w:rsidP="0083451C">
            <w:pPr>
              <w:jc w:val="both"/>
              <w:rPr>
                <w:b/>
                <w:color w:val="002060"/>
              </w:rPr>
            </w:pPr>
            <w:r>
              <w:rPr>
                <w:b/>
                <w:color w:val="002060"/>
              </w:rPr>
              <w:t>Les centres de recherche et les entreprises de haute technologie. Armature de l’économie de la connaissance. L’innovation c’est le moteur de la croissance industrielle : la plus grande valeur ajoutée se réalise sur les produits innovants pour lesquels les clients sont prêts à payer le plus cher. Les marges attirent les actionnaires et donc les flux financiers. Être propriétaire de brevets c’est être propriétaire du futur.</w:t>
            </w:r>
          </w:p>
        </w:tc>
      </w:tr>
    </w:tbl>
    <w:p w:rsidR="00A136B0" w:rsidRDefault="00A136B0" w:rsidP="002111B1">
      <w:pPr>
        <w:jc w:val="both"/>
        <w:rPr>
          <w:b/>
          <w:color w:val="FF0000"/>
          <w:sz w:val="24"/>
          <w:szCs w:val="24"/>
        </w:rPr>
      </w:pPr>
      <w:r>
        <w:rPr>
          <w:b/>
          <w:color w:val="FF0000"/>
          <w:sz w:val="24"/>
          <w:szCs w:val="24"/>
        </w:rPr>
        <w:t>II. Un réseau de communication qui renforce la macrocéphalie parisienne et assure à la France un</w:t>
      </w:r>
      <w:r w:rsidR="003E4F99">
        <w:rPr>
          <w:b/>
          <w:color w:val="FF0000"/>
          <w:sz w:val="24"/>
          <w:szCs w:val="24"/>
        </w:rPr>
        <w:t>e</w:t>
      </w:r>
      <w:r>
        <w:rPr>
          <w:b/>
          <w:color w:val="FF0000"/>
          <w:sz w:val="24"/>
          <w:szCs w:val="24"/>
        </w:rPr>
        <w:t xml:space="preserve"> grande ouverture sur le monde, et ce à toutes les échelles. </w:t>
      </w: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8655"/>
      </w:tblGrid>
      <w:tr w:rsidR="00207E12" w:rsidTr="0083451C">
        <w:tc>
          <w:tcPr>
            <w:tcW w:w="1951" w:type="dxa"/>
          </w:tcPr>
          <w:p w:rsidR="00207E12" w:rsidRDefault="00207E12" w:rsidP="0083451C">
            <w:pPr>
              <w:jc w:val="both"/>
              <w:rPr>
                <w:b/>
                <w:color w:val="002060"/>
              </w:rPr>
            </w:pPr>
          </w:p>
          <w:p w:rsidR="00207E12" w:rsidRDefault="00F96229" w:rsidP="0083451C">
            <w:pPr>
              <w:jc w:val="both"/>
              <w:rPr>
                <w:b/>
                <w:color w:val="002060"/>
              </w:rPr>
            </w:pPr>
            <w:r>
              <w:rPr>
                <w:b/>
                <w:noProof/>
                <w:color w:val="002060"/>
                <w:lang w:eastAsia="fr-FR"/>
              </w:rPr>
              <w:pict>
                <v:shapetype id="_x0000_t32" coordsize="21600,21600" o:spt="32" o:oned="t" path="m,l21600,21600e" filled="f">
                  <v:path arrowok="t" fillok="f" o:connecttype="none"/>
                  <o:lock v:ext="edit" shapetype="t"/>
                </v:shapetype>
                <v:shape id="_x0000_s1155" type="#_x0000_t32" style="position:absolute;left:0;text-align:left;margin-left:9.95pt;margin-top:.6pt;width:36.75pt;height:0;z-index:251826688" o:connectortype="straight" strokecolor="#7030a0" strokeweight="3pt"/>
              </w:pict>
            </w:r>
          </w:p>
          <w:p w:rsidR="00207E12" w:rsidRDefault="00207E12" w:rsidP="0083451C">
            <w:pPr>
              <w:jc w:val="both"/>
              <w:rPr>
                <w:b/>
                <w:color w:val="002060"/>
              </w:rPr>
            </w:pPr>
          </w:p>
        </w:tc>
        <w:tc>
          <w:tcPr>
            <w:tcW w:w="8655" w:type="dxa"/>
          </w:tcPr>
          <w:p w:rsidR="00207E12" w:rsidRDefault="00207E12" w:rsidP="0083451C">
            <w:pPr>
              <w:jc w:val="both"/>
              <w:rPr>
                <w:b/>
                <w:color w:val="002060"/>
              </w:rPr>
            </w:pPr>
            <w:r>
              <w:rPr>
                <w:b/>
                <w:color w:val="002060"/>
              </w:rPr>
              <w:t>Voies de communication majeures : conjonction de voies autoroutières et ferroviaires, réseau de fibre optique, trafic aérien majeur. Ils sont l’armature matérielle des réseaux urbains et des flux de services, de personnes et capitaux et de biens.</w:t>
            </w:r>
          </w:p>
        </w:tc>
      </w:tr>
      <w:tr w:rsidR="00207E12" w:rsidTr="0083451C">
        <w:tc>
          <w:tcPr>
            <w:tcW w:w="1951" w:type="dxa"/>
          </w:tcPr>
          <w:p w:rsidR="00207E12" w:rsidRDefault="00F96229" w:rsidP="0083451C">
            <w:pPr>
              <w:jc w:val="both"/>
              <w:rPr>
                <w:b/>
                <w:color w:val="002060"/>
              </w:rPr>
            </w:pPr>
            <w:r>
              <w:rPr>
                <w:b/>
                <w:noProof/>
                <w:color w:val="002060"/>
                <w:lang w:eastAsia="fr-FR"/>
              </w:rPr>
              <w:pict>
                <v:group id="_x0000_s1190" style="position:absolute;left:0;text-align:left;margin-left:17.7pt;margin-top:-5.25pt;width:6.6pt;height:27.65pt;rotation:90;z-index:251856384;mso-position-horizontal-relative:text;mso-position-vertical-relative:text" coordorigin="1792,14316" coordsize="132,553">
                  <v:shape id="_x0000_s1191" type="#_x0000_t32" style="position:absolute;left:1792;top:14316;width:0;height:553" o:connectortype="straight" strokecolor="#7030a0" strokeweight="3pt"/>
                  <v:shape id="_x0000_s1192" type="#_x0000_t32" style="position:absolute;left:1924;top:14316;width:0;height:553" o:connectortype="straight" strokecolor="#7030a0" strokeweight="3pt"/>
                </v:group>
              </w:pict>
            </w:r>
          </w:p>
        </w:tc>
        <w:tc>
          <w:tcPr>
            <w:tcW w:w="8655" w:type="dxa"/>
          </w:tcPr>
          <w:p w:rsidR="00207E12" w:rsidRDefault="00207E12" w:rsidP="0083451C">
            <w:pPr>
              <w:jc w:val="both"/>
              <w:rPr>
                <w:b/>
                <w:color w:val="002060"/>
              </w:rPr>
            </w:pPr>
            <w:r>
              <w:rPr>
                <w:b/>
                <w:color w:val="002060"/>
              </w:rPr>
              <w:t>Seuils naturels et / aménagés. Ils assurent l’ouverture du territoire, et ce à toutes les échelles, régionales et continentales dans un premier temps.</w:t>
            </w:r>
          </w:p>
        </w:tc>
      </w:tr>
      <w:tr w:rsidR="00207E12" w:rsidTr="0083451C">
        <w:tc>
          <w:tcPr>
            <w:tcW w:w="1951" w:type="dxa"/>
          </w:tcPr>
          <w:p w:rsidR="00207E12" w:rsidRDefault="00F96229" w:rsidP="0083451C">
            <w:pPr>
              <w:jc w:val="both"/>
              <w:rPr>
                <w:b/>
                <w:color w:val="002060"/>
              </w:rPr>
            </w:pPr>
            <w:r>
              <w:rPr>
                <w:b/>
                <w:noProof/>
                <w:color w:val="002060"/>
                <w:lang w:eastAsia="fr-FR"/>
              </w:rPr>
              <w:pict>
                <v:shape id="_x0000_s1153" type="#_x0000_t32" style="position:absolute;left:0;text-align:left;margin-left:8.7pt;margin-top:10.75pt;width:30.05pt;height:0;z-index:251824640;mso-position-horizontal-relative:text;mso-position-vertical-relative:text" o:connectortype="straight" strokecolor="#7030a0" strokeweight="3pt">
                  <v:stroke endarrow="block"/>
                </v:shape>
              </w:pict>
            </w:r>
          </w:p>
          <w:p w:rsidR="00207E12" w:rsidRDefault="00207E12" w:rsidP="0083451C">
            <w:pPr>
              <w:jc w:val="both"/>
              <w:rPr>
                <w:b/>
                <w:color w:val="002060"/>
              </w:rPr>
            </w:pPr>
          </w:p>
          <w:p w:rsidR="00207E12" w:rsidRDefault="00F96229" w:rsidP="0083451C">
            <w:pPr>
              <w:jc w:val="both"/>
              <w:rPr>
                <w:b/>
                <w:color w:val="002060"/>
              </w:rPr>
            </w:pPr>
            <w:r>
              <w:rPr>
                <w:b/>
                <w:noProof/>
                <w:color w:val="002060"/>
                <w:lang w:eastAsia="fr-FR"/>
              </w:rPr>
              <w:pict>
                <v:shape id="_x0000_s1154" type="#_x0000_t32" style="position:absolute;left:0;text-align:left;margin-left:8.9pt;margin-top:3.55pt;width:41.25pt;height:0;z-index:251825664" o:connectortype="straight" strokecolor="#7030a0" strokeweight="3pt">
                  <v:stroke dashstyle="1 1" endarrow="block" endcap="round"/>
                </v:shape>
              </w:pict>
            </w:r>
          </w:p>
        </w:tc>
        <w:tc>
          <w:tcPr>
            <w:tcW w:w="8655" w:type="dxa"/>
          </w:tcPr>
          <w:p w:rsidR="00207E12" w:rsidRDefault="00207E12" w:rsidP="0083451C">
            <w:pPr>
              <w:jc w:val="both"/>
              <w:rPr>
                <w:b/>
                <w:color w:val="002060"/>
              </w:rPr>
            </w:pPr>
            <w:r>
              <w:rPr>
                <w:b/>
                <w:color w:val="002060"/>
              </w:rPr>
              <w:t>Flux démographiques nationaux (Intérieurs) et internationaux. Des espaces pauvres ou en croissance vers les espaces riches, industrialisés et développés des aires urbaines et des littoraux. Entre pôles de la Triade il s’agit de migrations du travail qualifié. Des campagnes vers les zones urbaines il s’agit du travail peu qualifié.</w:t>
            </w:r>
          </w:p>
        </w:tc>
      </w:tr>
      <w:tr w:rsidR="00207E12" w:rsidTr="0083451C">
        <w:tc>
          <w:tcPr>
            <w:tcW w:w="1951" w:type="dxa"/>
          </w:tcPr>
          <w:p w:rsidR="00207E12" w:rsidRDefault="00F96229" w:rsidP="0083451C">
            <w:pPr>
              <w:jc w:val="both"/>
              <w:rPr>
                <w:b/>
                <w:color w:val="002060"/>
              </w:rPr>
            </w:pPr>
            <w:r>
              <w:rPr>
                <w:b/>
                <w:noProof/>
                <w:color w:val="002060"/>
                <w:lang w:eastAsia="fr-FR"/>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152" type="#_x0000_t69" style="position:absolute;left:0;text-align:left;margin-left:33.4pt;margin-top:3.45pt;width:33pt;height:20.1pt;z-index:251823616;mso-position-horizontal-relative:text;mso-position-vertical-relative:text" fillcolor="#002060" strokecolor="#002060"/>
              </w:pict>
            </w:r>
            <w:r>
              <w:rPr>
                <w:b/>
                <w:noProof/>
                <w:color w:val="002060"/>
                <w:lang w:eastAsia="fr-FR"/>
              </w:rPr>
              <w:pict>
                <v:rect id="_x0000_s1156" style="position:absolute;left:0;text-align:left;margin-left:0;margin-top:6.05pt;width:17pt;height:17.5pt;z-index:251827712;mso-position-horizontal-relative:text;mso-position-vertical-relative:text" fillcolor="#002060" strokecolor="#002060" strokeweight="4.5pt">
                  <v:stroke linestyle="thinThick"/>
                </v:rect>
              </w:pict>
            </w:r>
          </w:p>
          <w:p w:rsidR="00207E12" w:rsidRDefault="00207E12" w:rsidP="0083451C">
            <w:pPr>
              <w:jc w:val="both"/>
              <w:rPr>
                <w:b/>
                <w:color w:val="002060"/>
              </w:rPr>
            </w:pPr>
          </w:p>
          <w:p w:rsidR="00207E12" w:rsidRDefault="00207E12" w:rsidP="0083451C">
            <w:pPr>
              <w:jc w:val="both"/>
              <w:rPr>
                <w:b/>
                <w:color w:val="002060"/>
              </w:rPr>
            </w:pPr>
          </w:p>
        </w:tc>
        <w:tc>
          <w:tcPr>
            <w:tcW w:w="8655" w:type="dxa"/>
          </w:tcPr>
          <w:p w:rsidR="00207E12" w:rsidRDefault="00207E12" w:rsidP="0083451C">
            <w:pPr>
              <w:jc w:val="both"/>
              <w:rPr>
                <w:b/>
                <w:color w:val="002060"/>
              </w:rPr>
            </w:pPr>
            <w:r>
              <w:rPr>
                <w:b/>
                <w:color w:val="002060"/>
              </w:rPr>
              <w:t xml:space="preserve">Trafic maritime international liant les plus grands </w:t>
            </w:r>
            <w:r w:rsidRPr="000002F7">
              <w:rPr>
                <w:b/>
                <w:i/>
                <w:color w:val="002060"/>
              </w:rPr>
              <w:t>hubs</w:t>
            </w:r>
            <w:r>
              <w:rPr>
                <w:b/>
                <w:color w:val="002060"/>
              </w:rPr>
              <w:t xml:space="preserve"> maritimes entre eux. Les routes maritimes majeures relient les pôles de la Triade et les espaces à forte croissance.</w:t>
            </w:r>
          </w:p>
        </w:tc>
      </w:tr>
      <w:tr w:rsidR="00207E12" w:rsidTr="0083451C">
        <w:tc>
          <w:tcPr>
            <w:tcW w:w="1951" w:type="dxa"/>
          </w:tcPr>
          <w:p w:rsidR="00207E12" w:rsidRDefault="00F96229" w:rsidP="0083451C">
            <w:pPr>
              <w:jc w:val="both"/>
              <w:rPr>
                <w:b/>
                <w:color w:val="002060"/>
              </w:rPr>
            </w:pPr>
            <w:r>
              <w:rPr>
                <w:b/>
                <w:noProof/>
                <w:color w:val="002060"/>
                <w:lang w:eastAsia="fr-FR"/>
              </w:rPr>
              <w:pict>
                <v:shape id="_x0000_s1151" type="#_x0000_t32" style="position:absolute;left:0;text-align:left;margin-left:9.8pt;margin-top:5.65pt;width:47.75pt;height:.05pt;z-index:251822592;mso-position-horizontal-relative:text;mso-position-vertical-relative:text" o:connectortype="straight" strokecolor="#002060" strokeweight="6pt">
                  <v:stroke dashstyle="1 1"/>
                </v:shape>
              </w:pict>
            </w:r>
          </w:p>
        </w:tc>
        <w:tc>
          <w:tcPr>
            <w:tcW w:w="8655" w:type="dxa"/>
          </w:tcPr>
          <w:p w:rsidR="00207E12" w:rsidRDefault="00207E12" w:rsidP="0083451C">
            <w:pPr>
              <w:jc w:val="both"/>
              <w:rPr>
                <w:b/>
                <w:color w:val="002060"/>
              </w:rPr>
            </w:pPr>
            <w:r>
              <w:rPr>
                <w:b/>
                <w:color w:val="002060"/>
              </w:rPr>
              <w:t xml:space="preserve">Zones Industrialo-portuaires majeures à influence mondiale. Concentrations de hubs maritimes et d’entreprises industrielles. </w:t>
            </w:r>
          </w:p>
        </w:tc>
      </w:tr>
      <w:tr w:rsidR="00207E12" w:rsidTr="0083451C">
        <w:tc>
          <w:tcPr>
            <w:tcW w:w="1951" w:type="dxa"/>
          </w:tcPr>
          <w:p w:rsidR="00207E12" w:rsidRDefault="00F96229" w:rsidP="0083451C">
            <w:pPr>
              <w:jc w:val="both"/>
              <w:rPr>
                <w:b/>
                <w:noProof/>
                <w:color w:val="002060"/>
                <w:lang w:eastAsia="fr-FR"/>
              </w:rPr>
            </w:pPr>
            <w:r>
              <w:rPr>
                <w:b/>
                <w:noProof/>
                <w:color w:val="002060"/>
                <w:lang w:eastAsia="fr-FR"/>
              </w:rPr>
              <w:pict>
                <v:rect id="_x0000_s1186" style="position:absolute;left:0;text-align:left;margin-left:.9pt;margin-top:18.95pt;width:40.7pt;height:20.55pt;z-index:251852288;mso-position-horizontal-relative:text;mso-position-vertical-relative:text" fillcolor="#0070c0">
                  <v:fill r:id="rId5" o:title="5 %" color2="#b8cce4 [1300]" type="pattern"/>
                </v:rect>
              </w:pict>
            </w:r>
          </w:p>
        </w:tc>
        <w:tc>
          <w:tcPr>
            <w:tcW w:w="8655" w:type="dxa"/>
          </w:tcPr>
          <w:p w:rsidR="00207E12" w:rsidRDefault="00207E12" w:rsidP="0083451C">
            <w:pPr>
              <w:jc w:val="both"/>
              <w:rPr>
                <w:b/>
                <w:color w:val="002060"/>
              </w:rPr>
            </w:pPr>
          </w:p>
          <w:p w:rsidR="00207E12" w:rsidRDefault="00207E12" w:rsidP="0083451C">
            <w:pPr>
              <w:jc w:val="both"/>
              <w:rPr>
                <w:b/>
                <w:color w:val="002060"/>
              </w:rPr>
            </w:pPr>
            <w:r>
              <w:rPr>
                <w:b/>
                <w:color w:val="002060"/>
              </w:rPr>
              <w:t>Zones maritimes exploitées (Zone Économique Exclusive, ZEE, mais aussi tourisme nautique et balnéaire, voies maritimes stratégiques surveillées et zones de pêche côtières et d’aquaculture…</w:t>
            </w:r>
            <w:r w:rsidR="00D12F46">
              <w:rPr>
                <w:b/>
                <w:color w:val="002060"/>
              </w:rPr>
              <w:t> </w:t>
            </w:r>
          </w:p>
        </w:tc>
      </w:tr>
      <w:tr w:rsidR="00D12F46" w:rsidTr="0083451C">
        <w:tc>
          <w:tcPr>
            <w:tcW w:w="1951" w:type="dxa"/>
          </w:tcPr>
          <w:p w:rsidR="00D12F46" w:rsidRDefault="00F96229" w:rsidP="0083451C">
            <w:pPr>
              <w:jc w:val="both"/>
              <w:rPr>
                <w:b/>
                <w:noProof/>
                <w:color w:val="002060"/>
                <w:lang w:eastAsia="fr-FR"/>
              </w:rPr>
            </w:pPr>
            <w:r>
              <w:rPr>
                <w:b/>
                <w:noProof/>
                <w:color w:val="002060"/>
                <w:lang w:eastAsia="fr-FR"/>
              </w:rPr>
              <w:pict>
                <v:shape id="_x0000_s1189" type="#_x0000_t32" style="position:absolute;left:0;text-align:left;margin-left:.9pt;margin-top:5.5pt;width:40.7pt;height:0;flip:x;z-index:251855360;mso-position-horizontal-relative:text;mso-position-vertical-relative:text" o:connectortype="straight" strokecolor="#974706 [1609]" strokeweight="6pt"/>
              </w:pict>
            </w:r>
          </w:p>
        </w:tc>
        <w:tc>
          <w:tcPr>
            <w:tcW w:w="8655" w:type="dxa"/>
          </w:tcPr>
          <w:p w:rsidR="00D12F46" w:rsidRDefault="00D12F46" w:rsidP="0083451C">
            <w:pPr>
              <w:jc w:val="both"/>
              <w:rPr>
                <w:b/>
                <w:color w:val="002060"/>
              </w:rPr>
            </w:pPr>
            <w:r>
              <w:rPr>
                <w:b/>
                <w:color w:val="002060"/>
              </w:rPr>
              <w:t>Principales formations du relief contraignantes en termes de mobilités. </w:t>
            </w:r>
          </w:p>
        </w:tc>
      </w:tr>
      <w:tr w:rsidR="00207E12" w:rsidTr="0083451C">
        <w:tc>
          <w:tcPr>
            <w:tcW w:w="1951" w:type="dxa"/>
          </w:tcPr>
          <w:p w:rsidR="00207E12" w:rsidRDefault="00207E12" w:rsidP="0083451C">
            <w:pPr>
              <w:jc w:val="both"/>
              <w:rPr>
                <w:b/>
                <w:noProof/>
                <w:color w:val="002060"/>
                <w:lang w:eastAsia="fr-FR"/>
              </w:rPr>
            </w:pPr>
          </w:p>
        </w:tc>
        <w:tc>
          <w:tcPr>
            <w:tcW w:w="8655" w:type="dxa"/>
          </w:tcPr>
          <w:p w:rsidR="00207E12" w:rsidRDefault="00207E12" w:rsidP="0083451C">
            <w:pPr>
              <w:jc w:val="both"/>
              <w:rPr>
                <w:b/>
                <w:color w:val="002060"/>
              </w:rPr>
            </w:pPr>
          </w:p>
          <w:p w:rsidR="00207E12" w:rsidRDefault="00207E12" w:rsidP="0083451C">
            <w:pPr>
              <w:jc w:val="both"/>
              <w:rPr>
                <w:b/>
                <w:color w:val="002060"/>
              </w:rPr>
            </w:pPr>
          </w:p>
        </w:tc>
      </w:tr>
    </w:tbl>
    <w:p w:rsidR="00A136B0" w:rsidRPr="00A136B0" w:rsidRDefault="00A136B0" w:rsidP="002111B1">
      <w:pPr>
        <w:jc w:val="both"/>
        <w:rPr>
          <w:b/>
          <w:color w:val="FF0000"/>
          <w:sz w:val="24"/>
          <w:szCs w:val="24"/>
        </w:rPr>
      </w:pPr>
      <w:r>
        <w:rPr>
          <w:b/>
          <w:color w:val="FF0000"/>
          <w:sz w:val="24"/>
          <w:szCs w:val="24"/>
        </w:rPr>
        <w:lastRenderedPageBreak/>
        <w:t>III. Des niveaux de développement économique différenciés. </w:t>
      </w: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8655"/>
      </w:tblGrid>
      <w:tr w:rsidR="00207E12" w:rsidTr="0083451C">
        <w:tc>
          <w:tcPr>
            <w:tcW w:w="1951" w:type="dxa"/>
          </w:tcPr>
          <w:p w:rsidR="00207E12" w:rsidRDefault="00F96229" w:rsidP="0083451C">
            <w:pPr>
              <w:jc w:val="both"/>
              <w:rPr>
                <w:b/>
                <w:color w:val="002060"/>
              </w:rPr>
            </w:pPr>
            <w:r>
              <w:rPr>
                <w:b/>
                <w:noProof/>
                <w:color w:val="002060"/>
                <w:lang w:eastAsia="fr-FR"/>
              </w:rPr>
              <w:pict>
                <v:rect id="_x0000_s1169" style="position:absolute;left:0;text-align:left;margin-left:5.6pt;margin-top:12.35pt;width:40.7pt;height:20.55pt;z-index:251838976" fillcolor="red"/>
              </w:pict>
            </w:r>
          </w:p>
          <w:p w:rsidR="00207E12" w:rsidRDefault="00207E12" w:rsidP="0083451C">
            <w:pPr>
              <w:jc w:val="both"/>
              <w:rPr>
                <w:b/>
                <w:color w:val="002060"/>
              </w:rPr>
            </w:pPr>
          </w:p>
          <w:p w:rsidR="00207E12" w:rsidRDefault="00207E12" w:rsidP="0083451C">
            <w:pPr>
              <w:jc w:val="both"/>
              <w:rPr>
                <w:b/>
                <w:color w:val="002060"/>
              </w:rPr>
            </w:pPr>
          </w:p>
          <w:p w:rsidR="00207E12" w:rsidRDefault="00F96229" w:rsidP="0083451C">
            <w:pPr>
              <w:jc w:val="both"/>
              <w:rPr>
                <w:b/>
                <w:color w:val="002060"/>
              </w:rPr>
            </w:pPr>
            <w:r>
              <w:rPr>
                <w:b/>
                <w:noProof/>
                <w:color w:val="002060"/>
                <w:lang w:eastAsia="fr-FR"/>
              </w:rPr>
              <w:pict>
                <v:rect id="_x0000_s1170" style="position:absolute;left:0;text-align:left;margin-left:5.6pt;margin-top:9.3pt;width:40.7pt;height:20.55pt;z-index:251840000" fillcolor="#ffc000"/>
              </w:pict>
            </w:r>
          </w:p>
          <w:p w:rsidR="00207E12" w:rsidRDefault="00F96229" w:rsidP="0083451C">
            <w:pPr>
              <w:jc w:val="both"/>
              <w:rPr>
                <w:b/>
                <w:color w:val="002060"/>
              </w:rPr>
            </w:pPr>
            <w:r>
              <w:rPr>
                <w:b/>
                <w:noProof/>
                <w:color w:val="002060"/>
                <w:lang w:eastAsia="fr-FR"/>
              </w:rPr>
              <w:pict>
                <v:rect id="_x0000_s1171" style="position:absolute;left:0;text-align:left;margin-left:5.6pt;margin-top:27.9pt;width:40.7pt;height:20.55pt;z-index:251841024" fillcolor="yellow"/>
              </w:pict>
            </w:r>
          </w:p>
        </w:tc>
        <w:tc>
          <w:tcPr>
            <w:tcW w:w="8655" w:type="dxa"/>
          </w:tcPr>
          <w:p w:rsidR="00207E12" w:rsidRDefault="00207E12" w:rsidP="0083451C">
            <w:pPr>
              <w:jc w:val="both"/>
              <w:rPr>
                <w:b/>
                <w:color w:val="002060"/>
              </w:rPr>
            </w:pPr>
            <w:r>
              <w:rPr>
                <w:b/>
                <w:color w:val="002060"/>
              </w:rPr>
              <w:t>Les espaces industriels intégrés à la mondialisation. Les espaces industriels les plus intégrés à la mondialisation sont sur les littoraux, industrie de haute technologie (Biotechnologie, robotique, industries optiques et militaires, industries aéronautiques et spatiales…). Population riche et développée : PIB/hab./an/PPA/US$ supérieur à 25 000, IDH très élevé 0,850.</w:t>
            </w:r>
          </w:p>
          <w:p w:rsidR="00207E12" w:rsidRDefault="00207E12" w:rsidP="0083451C">
            <w:pPr>
              <w:jc w:val="both"/>
              <w:rPr>
                <w:b/>
                <w:color w:val="002060"/>
              </w:rPr>
            </w:pPr>
            <w:r>
              <w:rPr>
                <w:b/>
                <w:color w:val="002060"/>
              </w:rPr>
              <w:t>Les espaces moyennement intégrés : activités industrielles d’assemblage, industrie automobile.</w:t>
            </w:r>
          </w:p>
          <w:p w:rsidR="00207E12" w:rsidRDefault="00207E12" w:rsidP="0083451C">
            <w:pPr>
              <w:jc w:val="both"/>
              <w:rPr>
                <w:b/>
                <w:color w:val="002060"/>
              </w:rPr>
            </w:pPr>
            <w:r>
              <w:rPr>
                <w:b/>
                <w:color w:val="002060"/>
              </w:rPr>
              <w:t xml:space="preserve">Espaces industriels peu intégrés en cours de croissance : activités d’industrie de base (Chimie, sidérurgie, construction navale, textile, pétrochimie). </w:t>
            </w:r>
          </w:p>
        </w:tc>
      </w:tr>
      <w:tr w:rsidR="00207E12" w:rsidTr="0083451C">
        <w:tc>
          <w:tcPr>
            <w:tcW w:w="1951" w:type="dxa"/>
          </w:tcPr>
          <w:p w:rsidR="00207E12" w:rsidRDefault="00F96229" w:rsidP="0083451C">
            <w:pPr>
              <w:ind w:firstLine="708"/>
              <w:jc w:val="both"/>
              <w:rPr>
                <w:b/>
                <w:color w:val="002060"/>
              </w:rPr>
            </w:pPr>
            <w:r>
              <w:rPr>
                <w:b/>
                <w:noProof/>
                <w:color w:val="002060"/>
                <w:lang w:eastAsia="fr-FR"/>
              </w:rPr>
              <w:pict>
                <v:rect id="_x0000_s1173" style="position:absolute;left:0;text-align:left;margin-left:5.6pt;margin-top:26pt;width:40.7pt;height:20.55pt;z-index:251843072;mso-position-horizontal-relative:text;mso-position-vertical-relative:text" filled="f" fillcolor="#ffc000"/>
              </w:pict>
            </w:r>
            <w:r>
              <w:rPr>
                <w:b/>
                <w:noProof/>
                <w:color w:val="002060"/>
                <w:lang w:eastAsia="fr-FR"/>
              </w:rPr>
              <w:pict>
                <v:rect id="_x0000_s1172" style="position:absolute;left:0;text-align:left;margin-left:5.6pt;margin-top:5.45pt;width:40.7pt;height:20.55pt;z-index:251842048;mso-position-horizontal-relative:text;mso-position-vertical-relative:text" fillcolor="#92d050"/>
              </w:pict>
            </w:r>
            <w:r>
              <w:rPr>
                <w:b/>
                <w:noProof/>
                <w:color w:val="002060"/>
                <w:lang w:eastAsia="fr-FR"/>
              </w:rPr>
              <w:pict>
                <v:rect id="_x0000_s1174" style="position:absolute;left:0;text-align:left;margin-left:5.6pt;margin-top:46.55pt;width:40.7pt;height:20.55pt;z-index:251844096;mso-position-horizontal-relative:text;mso-position-vertical-relative:text" fillcolor="#bfbfbf [2412]"/>
              </w:pict>
            </w:r>
          </w:p>
          <w:p w:rsidR="00207E12" w:rsidRDefault="00207E12" w:rsidP="0083451C">
            <w:pPr>
              <w:ind w:firstLine="708"/>
              <w:jc w:val="both"/>
              <w:rPr>
                <w:b/>
                <w:color w:val="002060"/>
              </w:rPr>
            </w:pPr>
          </w:p>
          <w:p w:rsidR="00207E12" w:rsidRDefault="00207E12" w:rsidP="0083451C">
            <w:pPr>
              <w:ind w:firstLine="708"/>
              <w:jc w:val="both"/>
              <w:rPr>
                <w:b/>
                <w:color w:val="002060"/>
              </w:rPr>
            </w:pPr>
          </w:p>
          <w:p w:rsidR="00207E12" w:rsidRDefault="00207E12" w:rsidP="0083451C">
            <w:pPr>
              <w:ind w:firstLine="708"/>
              <w:jc w:val="both"/>
              <w:rPr>
                <w:b/>
                <w:color w:val="002060"/>
              </w:rPr>
            </w:pPr>
          </w:p>
          <w:p w:rsidR="00207E12" w:rsidRDefault="00207E12" w:rsidP="0083451C">
            <w:pPr>
              <w:jc w:val="both"/>
              <w:rPr>
                <w:b/>
                <w:color w:val="002060"/>
              </w:rPr>
            </w:pPr>
          </w:p>
          <w:p w:rsidR="00207E12" w:rsidRDefault="00207E12" w:rsidP="0083451C">
            <w:pPr>
              <w:jc w:val="both"/>
              <w:rPr>
                <w:b/>
                <w:color w:val="002060"/>
              </w:rPr>
            </w:pPr>
          </w:p>
        </w:tc>
        <w:tc>
          <w:tcPr>
            <w:tcW w:w="8655" w:type="dxa"/>
          </w:tcPr>
          <w:p w:rsidR="00207E12" w:rsidRDefault="00207E12" w:rsidP="0083451C">
            <w:pPr>
              <w:jc w:val="both"/>
              <w:rPr>
                <w:b/>
                <w:color w:val="002060"/>
              </w:rPr>
            </w:pPr>
            <w:r>
              <w:rPr>
                <w:b/>
                <w:color w:val="002060"/>
              </w:rPr>
              <w:t>Les espaces périphériques. Les espaces agricoles d’agriculture intensive ou extensive, créateurs de richesse quand ils sont intégrés aux IAA.</w:t>
            </w:r>
          </w:p>
          <w:p w:rsidR="00207E12" w:rsidRDefault="00207E12" w:rsidP="0083451C">
            <w:pPr>
              <w:jc w:val="both"/>
              <w:rPr>
                <w:b/>
                <w:color w:val="002060"/>
              </w:rPr>
            </w:pPr>
            <w:r>
              <w:rPr>
                <w:b/>
                <w:color w:val="002060"/>
              </w:rPr>
              <w:t>Les espaces réserves (Réserves d’espace ou de matières premières).</w:t>
            </w:r>
          </w:p>
          <w:p w:rsidR="00207E12" w:rsidRDefault="00207E12" w:rsidP="0083451C">
            <w:pPr>
              <w:jc w:val="both"/>
              <w:rPr>
                <w:b/>
                <w:color w:val="002060"/>
              </w:rPr>
            </w:pPr>
            <w:r>
              <w:rPr>
                <w:b/>
                <w:color w:val="002060"/>
              </w:rPr>
              <w:t>Les espaces marginalisés : éloignés des centres de commandement, enclavés, territoires de conflits ou parce qu’ils abritent une agriculture peu productive. Populations sont plus pauvres et moins développées que la moyenne : PIB/hab. faible ou très faible (Moins de 1000 US$) IDH faible moins de 0,500.</w:t>
            </w:r>
          </w:p>
        </w:tc>
      </w:tr>
      <w:tr w:rsidR="00D12F46" w:rsidTr="0083451C">
        <w:tc>
          <w:tcPr>
            <w:tcW w:w="1951" w:type="dxa"/>
          </w:tcPr>
          <w:p w:rsidR="00D12F46" w:rsidRDefault="00F96229" w:rsidP="0083451C">
            <w:pPr>
              <w:ind w:firstLine="708"/>
              <w:jc w:val="both"/>
              <w:rPr>
                <w:b/>
                <w:noProof/>
                <w:color w:val="002060"/>
                <w:lang w:eastAsia="fr-FR"/>
              </w:rPr>
            </w:pPr>
            <w:r w:rsidRPr="00F96229">
              <w:rPr>
                <w:noProof/>
                <w:lang w:eastAsia="fr-FR"/>
              </w:rPr>
              <w:pict>
                <v:rect id="_x0000_s1187" style="position:absolute;left:0;text-align:left;margin-left:42.75pt;margin-top:1.3pt;width:24.75pt;height:27.15pt;z-index:251853312;mso-position-horizontal-relative:text;mso-position-vertical-relative:text" fillcolor="white [3212]" strokecolor="#002060" strokeweight="4.5pt">
                  <v:stroke dashstyle="1 1"/>
                </v:rect>
              </w:pict>
            </w:r>
            <w:r w:rsidRPr="00F96229">
              <w:rPr>
                <w:noProof/>
                <w:lang w:eastAsia="fr-FR"/>
              </w:rPr>
              <w:pict>
                <v:rect id="_x0000_s1188" style="position:absolute;left:0;text-align:left;margin-left:5.6pt;margin-top:1.3pt;width:23.7pt;height:24.7pt;z-index:251854336;mso-position-horizontal-relative:text;mso-position-vertical-relative:text" fillcolor="white [3212]" strokecolor="#00b050" strokeweight="4.5pt">
                  <v:stroke dashstyle="1 1"/>
                </v:rect>
              </w:pict>
            </w:r>
          </w:p>
          <w:p w:rsidR="00D12F46" w:rsidRDefault="00D12F46" w:rsidP="0083451C">
            <w:pPr>
              <w:ind w:firstLine="708"/>
              <w:jc w:val="both"/>
              <w:rPr>
                <w:b/>
                <w:noProof/>
                <w:color w:val="002060"/>
                <w:lang w:eastAsia="fr-FR"/>
              </w:rPr>
            </w:pPr>
          </w:p>
          <w:p w:rsidR="00D12F46" w:rsidRDefault="00D12F46" w:rsidP="0083451C">
            <w:pPr>
              <w:ind w:firstLine="708"/>
              <w:jc w:val="both"/>
              <w:rPr>
                <w:b/>
                <w:noProof/>
                <w:color w:val="002060"/>
                <w:lang w:eastAsia="fr-FR"/>
              </w:rPr>
            </w:pPr>
          </w:p>
        </w:tc>
        <w:tc>
          <w:tcPr>
            <w:tcW w:w="8655" w:type="dxa"/>
          </w:tcPr>
          <w:p w:rsidR="00D12F46" w:rsidRDefault="00D12F46" w:rsidP="0083451C">
            <w:pPr>
              <w:jc w:val="both"/>
              <w:rPr>
                <w:b/>
                <w:color w:val="002060"/>
              </w:rPr>
            </w:pPr>
            <w:r>
              <w:rPr>
                <w:b/>
                <w:color w:val="002060"/>
              </w:rPr>
              <w:t>Les réserves et parcs naturels, terrestres et maritimes, préservation du littoral et de sa biodiversité dans le cadre du développement durable.</w:t>
            </w:r>
          </w:p>
        </w:tc>
      </w:tr>
    </w:tbl>
    <w:p w:rsidR="00207E12" w:rsidRPr="00916D1A" w:rsidRDefault="00207E12" w:rsidP="00207E12">
      <w:pPr>
        <w:jc w:val="both"/>
        <w:rPr>
          <w:b/>
          <w:color w:val="002060"/>
        </w:rPr>
      </w:pPr>
    </w:p>
    <w:p w:rsidR="002111B1" w:rsidRDefault="002111B1" w:rsidP="002111B1">
      <w:pPr>
        <w:jc w:val="both"/>
      </w:pPr>
    </w:p>
    <w:sectPr w:rsidR="002111B1" w:rsidSect="002111B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85721"/>
    <w:multiLevelType w:val="hybridMultilevel"/>
    <w:tmpl w:val="F20EA1D4"/>
    <w:lvl w:ilvl="0" w:tplc="15F0157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2111B1"/>
    <w:rsid w:val="00004573"/>
    <w:rsid w:val="00071DF1"/>
    <w:rsid w:val="001309E5"/>
    <w:rsid w:val="00173B57"/>
    <w:rsid w:val="00207E12"/>
    <w:rsid w:val="002111B1"/>
    <w:rsid w:val="002730E0"/>
    <w:rsid w:val="003A38D6"/>
    <w:rsid w:val="003E4F99"/>
    <w:rsid w:val="005930C6"/>
    <w:rsid w:val="005D1065"/>
    <w:rsid w:val="006A50B7"/>
    <w:rsid w:val="00943B0B"/>
    <w:rsid w:val="009B125C"/>
    <w:rsid w:val="009D5378"/>
    <w:rsid w:val="00A136B0"/>
    <w:rsid w:val="00AA3644"/>
    <w:rsid w:val="00B26C06"/>
    <w:rsid w:val="00B8047C"/>
    <w:rsid w:val="00D12F46"/>
    <w:rsid w:val="00D24435"/>
    <w:rsid w:val="00EA4F32"/>
    <w:rsid w:val="00F96229"/>
    <w:rsid w:val="00FE49A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none"/>
    </o:shapedefaults>
    <o:shapelayout v:ext="edit">
      <o:idmap v:ext="edit" data="1"/>
      <o:rules v:ext="edit">
        <o:r id="V:Rule36" type="connector" idref="#_x0000_s1154"/>
        <o:r id="V:Rule42" type="connector" idref="#_x0000_s1151"/>
        <o:r id="V:Rule44" type="connector" idref="#_x0000_s1153"/>
        <o:r id="V:Rule57" type="connector" idref="#_x0000_s1155"/>
        <o:r id="V:Rule60" type="connector" idref="#_x0000_s1191"/>
        <o:r id="V:Rule63" type="connector" idref="#_x0000_s1192"/>
        <o:r id="V:Rule64" type="connector" idref="#_x0000_s118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F3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07E12"/>
    <w:pPr>
      <w:ind w:left="720"/>
      <w:contextualSpacing/>
    </w:pPr>
  </w:style>
  <w:style w:type="table" w:styleId="Grilledutableau">
    <w:name w:val="Table Grid"/>
    <w:basedOn w:val="TableauNormal"/>
    <w:uiPriority w:val="59"/>
    <w:rsid w:val="00207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2</Pages>
  <Words>772</Words>
  <Characters>4252</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Erwan</dc:creator>
  <cp:lastModifiedBy>berth25e</cp:lastModifiedBy>
  <cp:revision>11</cp:revision>
  <dcterms:created xsi:type="dcterms:W3CDTF">2015-05-29T08:32:00Z</dcterms:created>
  <dcterms:modified xsi:type="dcterms:W3CDTF">2015-06-17T15:22:00Z</dcterms:modified>
</cp:coreProperties>
</file>