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B1" w:rsidRDefault="002111B1" w:rsidP="002111B1">
      <w:pPr>
        <w:jc w:val="both"/>
      </w:pPr>
      <w:r>
        <w:t>CHORÈME</w:t>
      </w:r>
    </w:p>
    <w:p w:rsidR="00EA4F32" w:rsidRPr="002111B1" w:rsidRDefault="002111B1" w:rsidP="002111B1">
      <w:pPr>
        <w:jc w:val="both"/>
        <w:rPr>
          <w:sz w:val="28"/>
          <w:szCs w:val="28"/>
        </w:rPr>
      </w:pPr>
      <w:r w:rsidRPr="002111B1">
        <w:rPr>
          <w:sz w:val="28"/>
          <w:szCs w:val="28"/>
        </w:rPr>
        <w:t>Dynamiques des espaces productifs français en Europe et dans le monde.</w:t>
      </w:r>
    </w:p>
    <w:p w:rsidR="002111B1" w:rsidRPr="002111B1" w:rsidRDefault="002111B1" w:rsidP="002111B1">
      <w:pPr>
        <w:jc w:val="both"/>
        <w:rPr>
          <w:sz w:val="28"/>
          <w:szCs w:val="28"/>
        </w:rPr>
      </w:pPr>
      <w:r w:rsidRPr="002111B1">
        <w:rPr>
          <w:sz w:val="28"/>
          <w:szCs w:val="28"/>
        </w:rPr>
        <w:t>L’organisation spatiale du territoire français et ses dynamiques géographiques.</w:t>
      </w:r>
    </w:p>
    <w:p w:rsidR="002111B1" w:rsidRPr="002111B1" w:rsidRDefault="002111B1" w:rsidP="002111B1">
      <w:pPr>
        <w:jc w:val="both"/>
        <w:rPr>
          <w:i/>
        </w:rPr>
      </w:pPr>
      <w:r w:rsidRPr="002111B1">
        <w:rPr>
          <w:i/>
        </w:rPr>
        <w:t>Comment s’organise spatialement le territoire français ?</w:t>
      </w:r>
    </w:p>
    <w:p w:rsidR="002111B1" w:rsidRDefault="005930C6" w:rsidP="002111B1">
      <w:pPr>
        <w:jc w:val="both"/>
      </w:pPr>
      <w:r>
        <w:rPr>
          <w:noProof/>
          <w:lang w:eastAsia="fr-FR"/>
        </w:rPr>
        <w:pict>
          <v:shapetype id="_x0000_t202" coordsize="21600,21600" o:spt="202" path="m,l,21600r21600,l21600,xe">
            <v:stroke joinstyle="miter"/>
            <v:path gradientshapeok="t" o:connecttype="rect"/>
          </v:shapetype>
          <v:shape id="_x0000_s1107" type="#_x0000_t202" style="position:absolute;left:0;text-align:left;margin-left:90.1pt;margin-top:1.65pt;width:344.95pt;height:34.55pt;z-index:251779584" stroked="f">
            <v:textbox>
              <w:txbxContent>
                <w:p w:rsidR="00004573" w:rsidRPr="00004573" w:rsidRDefault="00004573">
                  <w:pPr>
                    <w:rPr>
                      <w:rFonts w:ascii="Comic Sans MS" w:hAnsi="Comic Sans MS"/>
                      <w:b/>
                      <w:sz w:val="28"/>
                      <w:szCs w:val="28"/>
                    </w:rPr>
                  </w:pPr>
                  <w:r>
                    <w:rPr>
                      <w:rFonts w:ascii="Comic Sans MS" w:hAnsi="Comic Sans MS"/>
                      <w:b/>
                      <w:sz w:val="28"/>
                      <w:szCs w:val="28"/>
                    </w:rPr>
                    <w:t>Titre : « Dynamiques des espaces productifs. »</w:t>
                  </w:r>
                </w:p>
              </w:txbxContent>
            </v:textbox>
          </v:shape>
        </w:pict>
      </w:r>
    </w:p>
    <w:p w:rsidR="002111B1" w:rsidRDefault="005930C6" w:rsidP="002111B1">
      <w:pPr>
        <w:jc w:val="both"/>
      </w:pPr>
      <w:r>
        <w:rPr>
          <w:noProof/>
          <w:lang w:eastAsia="fr-FR"/>
        </w:rPr>
        <w:pict>
          <v:shape id="_x0000_s1109" type="#_x0000_t202" style="position:absolute;left:0;text-align:left;margin-left:331.5pt;margin-top:17.5pt;width:181.85pt;height:34.55pt;z-index:251781632" filled="f" stroked="f">
            <v:textbox>
              <w:txbxContent>
                <w:p w:rsidR="00004573" w:rsidRPr="00004573" w:rsidRDefault="00004573" w:rsidP="00004573">
                  <w:pPr>
                    <w:rPr>
                      <w:rFonts w:ascii="Comic Sans MS" w:hAnsi="Comic Sans MS"/>
                      <w:b/>
                      <w:sz w:val="28"/>
                      <w:szCs w:val="28"/>
                    </w:rPr>
                  </w:pPr>
                  <w:r w:rsidRPr="00004573">
                    <w:rPr>
                      <w:rFonts w:ascii="Comic Sans MS" w:hAnsi="Comic Sans MS"/>
                      <w:b/>
                      <w:sz w:val="28"/>
                      <w:szCs w:val="28"/>
                    </w:rPr>
                    <w:t>Mégalopole européenne</w:t>
                  </w:r>
                </w:p>
              </w:txbxContent>
            </v:textbox>
          </v:shape>
        </w:pict>
      </w:r>
      <w:r>
        <w:rPr>
          <w:noProof/>
          <w:lang w:eastAsia="fr-FR"/>
        </w:rPr>
        <w:pict>
          <v:shapetype id="_x0000_t32" coordsize="21600,21600" o:spt="32" o:oned="t" path="m,l21600,21600e" filled="f">
            <v:path arrowok="t" fillok="f" o:connecttype="none"/>
            <o:lock v:ext="edit" shapetype="t"/>
          </v:shapetype>
          <v:shape id="_x0000_s1069" type="#_x0000_t32" style="position:absolute;left:0;text-align:left;margin-left:270.3pt;margin-top:23.4pt;width:35.05pt;height:43.7pt;flip:x;z-index:251706368" o:connectortype="straight" strokecolor="#7030a0" strokeweight="3pt"/>
        </w:pict>
      </w:r>
      <w:r>
        <w:rPr>
          <w:noProof/>
          <w:lang w:eastAsia="fr-FR"/>
        </w:rPr>
        <w:pict>
          <v:rect id="_x0000_s1037" style="position:absolute;left:0;text-align:left;margin-left:270.3pt;margin-top:10.85pt;width:220.3pt;height:329.85pt;z-index:251667456" fillcolor="white [3212]" stroked="f"/>
        </w:pict>
      </w:r>
    </w:p>
    <w:p w:rsidR="002111B1" w:rsidRDefault="005930C6" w:rsidP="002111B1">
      <w:pPr>
        <w:jc w:val="both"/>
      </w:pPr>
      <w:r>
        <w:rPr>
          <w:noProof/>
          <w:lang w:eastAsia="fr-FR"/>
        </w:rPr>
        <w:pict>
          <v:roundrect id="_x0000_s1100" style="position:absolute;left:0;text-align:left;margin-left:273.55pt;margin-top:132.5pt;width:308pt;height:82.75pt;rotation:90;z-index:251771392" arcsize=".5" filled="f" strokecolor="#7030a0" strokeweight="6pt"/>
        </w:pict>
      </w:r>
      <w:r>
        <w:rPr>
          <w:noProof/>
          <w:lang w:eastAsia="fr-FR"/>
        </w:rPr>
        <w:pict>
          <v:shape id="_x0000_s1075" type="#_x0000_t32" style="position:absolute;left:0;text-align:left;margin-left:64.45pt;margin-top:8.05pt;width:199.25pt;height:110.55pt;flip:x;z-index:251712512" o:connectortype="straight" strokecolor="#002060" strokeweight="6pt">
            <v:stroke dashstyle="1 1"/>
          </v:shape>
        </w:pict>
      </w:r>
    </w:p>
    <w:p w:rsidR="002111B1" w:rsidRDefault="005930C6" w:rsidP="002111B1">
      <w:pPr>
        <w:jc w:val="both"/>
      </w:pPr>
      <w:r>
        <w:rPr>
          <w:noProof/>
          <w:lang w:eastAsia="fr-FR"/>
        </w:rPr>
        <w:pict>
          <v:shape id="_x0000_s1108" type="#_x0000_t202" style="position:absolute;left:0;text-align:left;margin-left:46.5pt;margin-top:9.35pt;width:123pt;height:34.55pt;z-index:251780608" filled="f" stroked="f">
            <v:textbox>
              <w:txbxContent>
                <w:p w:rsidR="00004573" w:rsidRPr="00004573" w:rsidRDefault="00004573" w:rsidP="00004573">
                  <w:pPr>
                    <w:rPr>
                      <w:rFonts w:ascii="Comic Sans MS" w:hAnsi="Comic Sans MS"/>
                      <w:i/>
                      <w:sz w:val="28"/>
                      <w:szCs w:val="28"/>
                    </w:rPr>
                  </w:pPr>
                  <w:proofErr w:type="spellStart"/>
                  <w:r w:rsidRPr="00004573">
                    <w:rPr>
                      <w:rFonts w:ascii="Comic Sans MS" w:hAnsi="Comic Sans MS"/>
                      <w:i/>
                      <w:sz w:val="28"/>
                      <w:szCs w:val="28"/>
                    </w:rPr>
                    <w:t>Northern</w:t>
                  </w:r>
                  <w:proofErr w:type="spellEnd"/>
                  <w:r w:rsidRPr="00004573">
                    <w:rPr>
                      <w:rFonts w:ascii="Comic Sans MS" w:hAnsi="Comic Sans MS"/>
                      <w:i/>
                      <w:sz w:val="28"/>
                      <w:szCs w:val="28"/>
                    </w:rPr>
                    <w:t xml:space="preserve"> Range</w:t>
                  </w:r>
                </w:p>
              </w:txbxContent>
            </v:textbox>
          </v:shape>
        </w:pict>
      </w:r>
      <w:r>
        <w:rPr>
          <w:noProof/>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4" type="#_x0000_t69" style="position:absolute;left:0;text-align:left;margin-left:203.45pt;margin-top:17.95pt;width:33pt;height:20.1pt;z-index:251711488" fillcolor="#002060" strokecolor="#002060"/>
        </w:pict>
      </w:r>
      <w:r>
        <w:rPr>
          <w:noProof/>
          <w:lang w:eastAsia="fr-FR"/>
        </w:rPr>
        <w:pict>
          <v:rect id="_x0000_s1072" style="position:absolute;left:0;text-align:left;margin-left:246.7pt;margin-top:16.25pt;width:17pt;height:17.5pt;z-index:251709440" fillcolor="#002060" strokecolor="#002060" strokeweight="4.5pt">
            <v:stroke linestyle="thinThick"/>
          </v:rect>
        </w:pict>
      </w:r>
      <w:r>
        <w:rPr>
          <w:noProof/>
          <w:lang w:eastAsia="fr-FR"/>
        </w:rPr>
        <w:pict>
          <v:shape id="_x0000_s1061" type="#_x0000_t32" style="position:absolute;left:0;text-align:left;margin-left:270.3pt;margin-top:23.65pt;width:7.05pt;height:69.5pt;flip:x y;z-index:251718656" o:connectortype="straight" strokecolor="#7030a0" strokeweight="3pt"/>
        </w:pict>
      </w:r>
      <w:r>
        <w:rPr>
          <w:noProof/>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9" type="#_x0000_t56" style="position:absolute;left:0;text-align:left;margin-left:270.3pt;margin-top:12.3pt;width:28pt;height:28.85pt;z-index:251681792" fillcolor="red" strokecolor="#f2f2f2 [3052]"/>
        </w:pict>
      </w:r>
      <w:r>
        <w:rPr>
          <w:noProof/>
          <w:lang w:eastAsia="fr-FR"/>
        </w:rPr>
        <w:pict>
          <v:oval id="_x0000_s1045" style="position:absolute;left:0;text-align:left;margin-left:259.75pt;margin-top:8.4pt;width:21.2pt;height:19.7pt;z-index:251677696" fillcolor="#7030a0"/>
        </w:pict>
      </w:r>
      <w:r>
        <w:rPr>
          <w:noProof/>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6" type="#_x0000_t9" style="position:absolute;left:0;text-align:left;margin-left:34.7pt;margin-top:16.25pt;width:468.15pt;height:395.5pt;rotation:1959853fd;z-index:251665407" adj="5339" fillcolor="#0070c0" stroked="f">
            <v:fill r:id="rId5" o:title="10 %" color2="#b8cce4 [1300]" type="pattern"/>
          </v:shape>
        </w:pict>
      </w:r>
    </w:p>
    <w:p w:rsidR="002111B1" w:rsidRDefault="005930C6" w:rsidP="002111B1">
      <w:pPr>
        <w:jc w:val="both"/>
      </w:pPr>
      <w:r>
        <w:rPr>
          <w:noProof/>
          <w:lang w:eastAsia="fr-FR"/>
        </w:rPr>
        <w:pict>
          <v:shape id="_x0000_s1035" type="#_x0000_t9" style="position:absolute;left:0;text-align:left;margin-left:90.1pt;margin-top:15.7pt;width:362.5pt;height:319.3pt;rotation:1959853fd;z-index:251670528" fillcolor="#92d050"/>
        </w:pict>
      </w:r>
    </w:p>
    <w:p w:rsidR="002111B1" w:rsidRDefault="005930C6" w:rsidP="002111B1">
      <w:pPr>
        <w:jc w:val="both"/>
      </w:pPr>
      <w:r>
        <w:rPr>
          <w:noProof/>
          <w:lang w:eastAsia="fr-FR"/>
        </w:rPr>
        <w:pict>
          <v:oval id="_x0000_s1079" style="position:absolute;left:0;text-align:left;margin-left:213.65pt;margin-top:11.45pt;width:107.35pt;height:99.45pt;z-index:251715584" fillcolor="red" stroked="f"/>
        </w:pict>
      </w:r>
      <w:r>
        <w:rPr>
          <w:noProof/>
          <w:lang w:eastAsia="fr-FR"/>
        </w:rPr>
        <w:pict>
          <v:shape id="_x0000_s1057" type="#_x0000_t32" style="position:absolute;left:0;text-align:left;margin-left:215.55pt;margin-top:23.8pt;width:30.05pt;height:18.45pt;z-index:251717632" o:connectortype="straight" strokecolor="#7030a0" strokeweight="3pt">
            <v:stroke endarrow="block"/>
          </v:shape>
        </w:pict>
      </w:r>
    </w:p>
    <w:p w:rsidR="002111B1" w:rsidRDefault="005930C6" w:rsidP="002111B1">
      <w:pPr>
        <w:jc w:val="both"/>
      </w:pPr>
      <w:r>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2" type="#_x0000_t12" style="position:absolute;left:0;text-align:left;margin-left:251.7pt;margin-top:12.25pt;width:30.45pt;height:33.05pt;z-index:251723776" fillcolor="red" stroked="f"/>
        </w:pict>
      </w:r>
      <w:r>
        <w:rPr>
          <w:noProof/>
          <w:lang w:eastAsia="fr-FR"/>
        </w:rPr>
        <w:pict>
          <v:oval id="_x0000_s1039" style="position:absolute;left:0;text-align:left;margin-left:246.7pt;margin-top:12.25pt;width:38.85pt;height:36pt;z-index:251716608" fillcolor="#7030a0"/>
        </w:pict>
      </w:r>
    </w:p>
    <w:p w:rsidR="002111B1" w:rsidRDefault="005930C6" w:rsidP="002111B1">
      <w:pPr>
        <w:jc w:val="both"/>
      </w:pPr>
      <w:r>
        <w:rPr>
          <w:noProof/>
          <w:lang w:eastAsia="fr-FR"/>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82" type="#_x0000_t95" style="position:absolute;left:0;text-align:left;margin-left:73.75pt;margin-top:23.05pt;width:82.6pt;height:76.2pt;rotation:90;z-index:251739136" adj=",144" fillcolor="yellow" stroked="f"/>
        </w:pict>
      </w:r>
      <w:r>
        <w:rPr>
          <w:noProof/>
          <w:lang w:eastAsia="fr-FR"/>
        </w:rPr>
        <w:pict>
          <v:shape id="_x0000_s1081" type="#_x0000_t95" style="position:absolute;left:0;text-align:left;margin-left:387.6pt;margin-top:8.45pt;width:82.6pt;height:76.2pt;rotation:270;z-index:251732992" adj=",144" fillcolor="red" stroked="f"/>
        </w:pict>
      </w: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236.45pt;margin-top:8.45pt;width:26.7pt;height:25.85pt;z-index:251724800" fillcolor="red" strokecolor="#f2f2f2 [3052]"/>
        </w:pict>
      </w:r>
      <w:r>
        <w:rPr>
          <w:noProof/>
          <w:lang w:eastAsia="fr-FR"/>
        </w:rPr>
        <w:pict>
          <v:shape id="_x0000_s1065" type="#_x0000_t32" style="position:absolute;left:0;text-align:left;margin-left:114.7pt;margin-top:5.9pt;width:137pt;height:43.2pt;flip:x;z-index:251742208" o:connectortype="straight" strokecolor="#7030a0" strokeweight="3pt"/>
        </w:pict>
      </w:r>
      <w:r>
        <w:rPr>
          <w:noProof/>
          <w:lang w:eastAsia="fr-FR"/>
        </w:rPr>
        <w:pict>
          <v:shape id="_x0000_s1064" type="#_x0000_t32" style="position:absolute;left:0;text-align:left;margin-left:114.7pt;margin-top:19.85pt;width:155.6pt;height:139.75pt;flip:x;z-index:251721728" o:connectortype="straight" strokecolor="#7030a0" strokeweight="3pt"/>
        </w:pict>
      </w:r>
      <w:r>
        <w:rPr>
          <w:noProof/>
          <w:lang w:eastAsia="fr-FR"/>
        </w:rPr>
        <w:pict>
          <v:shape id="_x0000_s1063" type="#_x0000_t32" style="position:absolute;left:0;text-align:left;margin-left:254.15pt;margin-top:19.85pt;width:16.15pt;height:187.15pt;flip:x;z-index:251754496" o:connectortype="straight" strokecolor="#7030a0" strokeweight="3pt"/>
        </w:pict>
      </w:r>
      <w:r>
        <w:rPr>
          <w:noProof/>
          <w:lang w:eastAsia="fr-FR"/>
        </w:rPr>
        <w:pict>
          <v:shape id="_x0000_s1062" type="#_x0000_t32" style="position:absolute;left:0;text-align:left;margin-left:277.35pt;margin-top:5.9pt;width:147.95pt;height:25.85pt;z-index:251737088" o:connectortype="straight" strokecolor="#7030a0" strokeweight="3pt"/>
        </w:pict>
      </w:r>
      <w:r>
        <w:rPr>
          <w:noProof/>
          <w:lang w:eastAsia="fr-FR"/>
        </w:rPr>
        <w:pict>
          <v:shape id="_x0000_s1059" type="#_x0000_t32" style="position:absolute;left:0;text-align:left;margin-left:277.35pt;margin-top:19.85pt;width:76.8pt;height:213.5pt;z-index:251760640" o:connectortype="straight" strokecolor="#7030a0" strokeweight="3pt"/>
        </w:pict>
      </w:r>
      <w:r>
        <w:rPr>
          <w:noProof/>
          <w:lang w:eastAsia="fr-FR"/>
        </w:rPr>
        <w:pict>
          <v:oval id="_x0000_s1047" style="position:absolute;left:0;text-align:left;margin-left:417.25pt;margin-top:22.8pt;width:21.2pt;height:19.7pt;z-index:251734016" fillcolor="#7030a0"/>
        </w:pict>
      </w:r>
      <w:r>
        <w:rPr>
          <w:noProof/>
          <w:lang w:eastAsia="fr-FR"/>
        </w:rPr>
        <w:pict>
          <v:shape id="_x0000_s1040" type="#_x0000_t56" style="position:absolute;left:0;text-align:left;margin-left:277.35pt;margin-top:.35pt;width:28pt;height:28.85pt;z-index:251720704" fillcolor="red" strokecolor="#f2f2f2 [3052]"/>
        </w:pict>
      </w:r>
    </w:p>
    <w:p w:rsidR="002111B1" w:rsidRDefault="005930C6" w:rsidP="002111B1">
      <w:pPr>
        <w:jc w:val="both"/>
      </w:pPr>
      <w:r>
        <w:rPr>
          <w:noProof/>
          <w:lang w:eastAsia="fr-FR"/>
        </w:rPr>
        <w:pict>
          <v:shape id="_x0000_s1070" type="#_x0000_t32" style="position:absolute;left:0;text-align:left;margin-left:431.3pt;margin-top:5.45pt;width:71.55pt;height:0;flip:x;z-index:251736064" o:connectortype="straight" strokecolor="#7030a0" strokeweight="3pt"/>
        </w:pict>
      </w:r>
      <w:r>
        <w:rPr>
          <w:noProof/>
          <w:lang w:eastAsia="fr-FR"/>
        </w:rPr>
        <w:pict>
          <v:shape id="_x0000_s1068" type="#_x0000_t32" style="position:absolute;left:0;text-align:left;margin-left:330.7pt;margin-top:8.85pt;width:86.55pt;height:119.3pt;flip:y;z-index:251758592" o:connectortype="straight" strokecolor="#7030a0" strokeweight="3pt">
            <v:stroke dashstyle="1 1" endcap="round"/>
          </v:shape>
        </w:pict>
      </w:r>
      <w:r>
        <w:rPr>
          <w:noProof/>
          <w:lang w:eastAsia="fr-FR"/>
        </w:rPr>
        <w:pict>
          <v:oval id="_x0000_s1052" style="position:absolute;left:0;text-align:left;margin-left:108.3pt;margin-top:17.05pt;width:12.8pt;height:12.05pt;z-index:251740160" fillcolor="#7030a0"/>
        </w:pict>
      </w:r>
      <w:r>
        <w:rPr>
          <w:noProof/>
          <w:lang w:eastAsia="fr-FR"/>
        </w:rPr>
        <w:pict>
          <v:shape id="_x0000_s1050" type="#_x0000_t56" style="position:absolute;left:0;text-align:left;margin-left:417.25pt;margin-top:6.3pt;width:28pt;height:28.85pt;z-index:251735040" fillcolor="red" strokecolor="#f2f2f2 [3052]"/>
        </w:pict>
      </w:r>
    </w:p>
    <w:p w:rsidR="002111B1" w:rsidRDefault="005930C6" w:rsidP="002111B1">
      <w:pPr>
        <w:jc w:val="both"/>
      </w:pPr>
      <w:r>
        <w:rPr>
          <w:noProof/>
          <w:lang w:eastAsia="fr-FR"/>
        </w:rPr>
        <w:pict>
          <v:rect id="_x0000_s1084" style="position:absolute;left:0;text-align:left;margin-left:215.55pt;margin-top:24pt;width:85.4pt;height:84.75pt;z-index:251751424" fillcolor="#d8d8d8 [2732]" stroked="f"/>
        </w:pict>
      </w:r>
      <w:r>
        <w:rPr>
          <w:noProof/>
          <w:lang w:eastAsia="fr-FR"/>
        </w:rPr>
        <w:pict>
          <v:rect id="_x0000_s1073" style="position:absolute;left:0;text-align:left;margin-left:104.1pt;margin-top:2.85pt;width:17pt;height:17.5pt;z-index:251741184" fillcolor="#002060" strokecolor="#002060" strokeweight="4.5pt">
            <v:stroke linestyle="thinThick"/>
          </v:rect>
        </w:pict>
      </w:r>
    </w:p>
    <w:p w:rsidR="002111B1" w:rsidRDefault="005930C6" w:rsidP="002111B1">
      <w:pPr>
        <w:jc w:val="both"/>
      </w:pPr>
      <w:r>
        <w:rPr>
          <w:noProof/>
          <w:lang w:eastAsia="fr-FR"/>
        </w:rPr>
        <w:pict>
          <v:rect id="_x0000_s1086" style="position:absolute;left:0;text-align:left;margin-left:71.95pt;margin-top:17.1pt;width:42.75pt;height:45.15pt;z-index:251763712" fillcolor="white [3212]" strokecolor="#002060" strokeweight="4.5pt">
            <v:stroke dashstyle="1 1"/>
          </v:rect>
        </w:pict>
      </w:r>
      <w:r>
        <w:rPr>
          <w:noProof/>
          <w:lang w:eastAsia="fr-FR"/>
        </w:rPr>
        <w:pict>
          <v:shape id="_x0000_s1058" type="#_x0000_t32" style="position:absolute;left:0;text-align:left;margin-left:440.65pt;margin-top:11.3pt;width:59.3pt;height:.05pt;flip:x;z-index:251691008" o:connectortype="straight" strokecolor="#7030a0" strokeweight="3pt">
            <v:stroke dashstyle="1 1" endarrow="block" endcap="round"/>
          </v:shape>
        </w:pict>
      </w:r>
    </w:p>
    <w:p w:rsidR="002111B1" w:rsidRDefault="005930C6" w:rsidP="002111B1">
      <w:pPr>
        <w:jc w:val="both"/>
      </w:pPr>
      <w:r>
        <w:rPr>
          <w:noProof/>
          <w:lang w:eastAsia="fr-FR"/>
        </w:rPr>
        <w:pict>
          <v:rect id="_x0000_s1085" style="position:absolute;left:0;text-align:left;margin-left:378.3pt;margin-top:18.75pt;width:42.75pt;height:45.15pt;z-index:251772416" fillcolor="white [3212]" strokecolor="#00b050" strokeweight="4.5pt">
            <v:stroke dashstyle="1 1"/>
          </v:rect>
        </w:pict>
      </w:r>
      <w:r>
        <w:rPr>
          <w:noProof/>
          <w:lang w:eastAsia="fr-FR"/>
        </w:rPr>
        <w:pict>
          <v:shape id="_x0000_s1087" type="#_x0000_t32" style="position:absolute;left:0;text-align:left;margin-left:428.7pt;margin-top:13.5pt;width:0;height:75.35pt;z-index:251764736" o:connectortype="straight" strokecolor="#974706 [1609]" strokeweight="6pt"/>
        </w:pict>
      </w:r>
      <w:r>
        <w:rPr>
          <w:noProof/>
          <w:lang w:eastAsia="fr-FR"/>
        </w:rPr>
        <w:pict>
          <v:oval id="_x0000_s1080" style="position:absolute;left:0;text-align:left;margin-left:297.3pt;margin-top:24.7pt;width:66.5pt;height:61.6pt;z-index:251755520" fillcolor="red" stroked="f" strokecolor="#1c1a10 [334]"/>
        </w:pict>
      </w:r>
    </w:p>
    <w:p w:rsidR="002111B1" w:rsidRDefault="005930C6" w:rsidP="002111B1">
      <w:pPr>
        <w:jc w:val="both"/>
      </w:pPr>
      <w:r>
        <w:rPr>
          <w:noProof/>
          <w:lang w:eastAsia="fr-FR"/>
        </w:rPr>
        <w:pict>
          <v:shape id="_x0000_s1048" type="#_x0000_t56" style="position:absolute;left:0;text-align:left;margin-left:330.7pt;margin-top:18.75pt;width:28pt;height:28.85pt;z-index:251757568" fillcolor="red" strokecolor="#f2f2f2 [3052]"/>
        </w:pict>
      </w:r>
      <w:r>
        <w:rPr>
          <w:noProof/>
          <w:lang w:eastAsia="fr-FR"/>
        </w:rPr>
        <w:pict>
          <v:oval id="_x0000_s1046" style="position:absolute;left:0;text-align:left;margin-left:317.65pt;margin-top:18.75pt;width:21.2pt;height:19.7pt;z-index:251756544" fillcolor="#7030a0"/>
        </w:pict>
      </w:r>
    </w:p>
    <w:p w:rsidR="002111B1" w:rsidRDefault="005930C6" w:rsidP="002111B1">
      <w:pPr>
        <w:jc w:val="both"/>
      </w:pPr>
      <w:r>
        <w:rPr>
          <w:noProof/>
          <w:lang w:eastAsia="fr-FR"/>
        </w:rPr>
        <w:pict>
          <v:group id="_x0000_s1097" style="position:absolute;left:0;text-align:left;margin-left:428.15pt;margin-top:11.6pt;width:6.6pt;height:27.65pt;rotation:90;z-index:251770368" coordorigin="1792,14316" coordsize="132,553">
            <v:shape id="_x0000_s1098" type="#_x0000_t32" style="position:absolute;left:1792;top:14316;width:0;height:553" o:connectortype="straight" strokecolor="#7030a0" strokeweight="3pt"/>
            <v:shape id="_x0000_s1099" type="#_x0000_t32" style="position:absolute;left:1924;top:14316;width:0;height:553" o:connectortype="straight" strokecolor="#7030a0" strokeweight="3pt"/>
          </v:group>
        </w:pict>
      </w:r>
      <w:r>
        <w:rPr>
          <w:noProof/>
          <w:lang w:eastAsia="fr-FR"/>
        </w:rPr>
        <w:pict>
          <v:oval id="_x0000_s1083" style="position:absolute;left:0;text-align:left;margin-left:226.8pt;margin-top:19.1pt;width:66.5pt;height:61.6pt;z-index:251743232" fillcolor="#ffc000" stroked="f" strokecolor="#1c1a10 [334]"/>
        </w:pict>
      </w:r>
      <w:r>
        <w:rPr>
          <w:noProof/>
          <w:lang w:eastAsia="fr-FR"/>
        </w:rPr>
        <w:pict>
          <v:shape id="_x0000_s1076" type="#_x0000_t32" style="position:absolute;left:0;text-align:left;margin-left:282.15pt;margin-top:.95pt;width:30.05pt;height:0;z-index:251761664" o:connectortype="straight" strokecolor="#7030a0" strokeweight="3pt">
            <v:stroke endarrow="block"/>
          </v:shape>
        </w:pict>
      </w:r>
      <w:r>
        <w:rPr>
          <w:noProof/>
          <w:lang w:eastAsia="fr-FR"/>
        </w:rPr>
        <w:pict>
          <v:shape id="_x0000_s1067" type="#_x0000_t32" style="position:absolute;left:0;text-align:left;margin-left:121.1pt;margin-top:6.95pt;width:130.6pt;height:41.05pt;z-index:251746304" o:connectortype="straight" strokecolor="#7030a0" strokeweight="3pt">
            <v:stroke dashstyle="1 1" endcap="round"/>
          </v:shape>
        </w:pict>
      </w:r>
      <w:r>
        <w:rPr>
          <w:noProof/>
          <w:lang w:eastAsia="fr-FR"/>
        </w:rPr>
        <w:pict>
          <v:shape id="_x0000_s1066" type="#_x0000_t32" style="position:absolute;left:0;text-align:left;margin-left:251.7pt;margin-top:6.95pt;width:73.95pt;height:41.05pt;flip:x;z-index:251759616" o:connectortype="straight" strokecolor="#7030a0" strokeweight="3pt">
            <v:stroke dashstyle="1 1" endcap="round"/>
          </v:shape>
        </w:pict>
      </w:r>
      <w:r>
        <w:rPr>
          <w:noProof/>
          <w:lang w:eastAsia="fr-FR"/>
        </w:rPr>
        <w:pict>
          <v:oval id="_x0000_s1051" style="position:absolute;left:0;text-align:left;margin-left:108.3pt;margin-top:.95pt;width:12.8pt;height:12.05pt;z-index:251683840" fillcolor="#7030a0"/>
        </w:pict>
      </w:r>
    </w:p>
    <w:p w:rsidR="002111B1" w:rsidRDefault="005930C6" w:rsidP="002111B1">
      <w:pPr>
        <w:jc w:val="both"/>
      </w:pPr>
      <w:r>
        <w:rPr>
          <w:noProof/>
          <w:lang w:eastAsia="fr-FR"/>
        </w:rPr>
        <w:pict>
          <v:group id="_x0000_s1093" style="position:absolute;left:0;text-align:left;margin-left:117.7pt;margin-top:9.95pt;width:6.6pt;height:27.65pt;z-index:251768320" coordorigin="1792,14316" coordsize="132,553">
            <v:shape id="_x0000_s1089" type="#_x0000_t32" style="position:absolute;left:1792;top:14316;width:0;height:553" o:connectortype="straight" strokecolor="#7030a0" strokeweight="3pt"/>
            <v:shape id="_x0000_s1090" type="#_x0000_t32" style="position:absolute;left:1924;top:14316;width:0;height:553" o:connectortype="straight" strokecolor="#7030a0" strokeweight="3pt"/>
          </v:group>
        </w:pict>
      </w:r>
      <w:r>
        <w:rPr>
          <w:noProof/>
          <w:lang w:eastAsia="fr-FR"/>
        </w:rPr>
        <w:pict>
          <v:shape id="_x0000_s1088" type="#_x0000_t32" style="position:absolute;left:0;text-align:left;margin-left:129.05pt;margin-top:24.5pt;width:122.55pt;height:68.35pt;flip:x y;z-index:251766784" o:connectortype="straight" strokecolor="#974706 [1609]" strokeweight="6pt"/>
        </w:pict>
      </w:r>
      <w:r>
        <w:rPr>
          <w:noProof/>
          <w:lang w:eastAsia="fr-FR"/>
        </w:rPr>
        <w:pict>
          <v:shape id="_x0000_s1071" type="#_x0000_t32" style="position:absolute;left:0;text-align:left;margin-left:174.1pt;margin-top:22.55pt;width:77.5pt;height:77.85pt;flip:y;z-index:251747328" o:connectortype="straight" strokecolor="#7030a0" strokeweight="3pt"/>
        </w:pict>
      </w:r>
      <w:r>
        <w:rPr>
          <w:noProof/>
          <w:lang w:eastAsia="fr-FR"/>
        </w:rPr>
        <w:pict>
          <v:shape id="_x0000_s1054" type="#_x0000_t56" style="position:absolute;left:0;text-align:left;margin-left:254.15pt;margin-top:9.95pt;width:28pt;height:28.85pt;z-index:251750400" fillcolor="red" strokecolor="#f2f2f2 [3052]"/>
        </w:pict>
      </w:r>
      <w:r>
        <w:rPr>
          <w:noProof/>
          <w:lang w:eastAsia="fr-FR"/>
        </w:rPr>
        <w:pict>
          <v:oval id="_x0000_s1053" style="position:absolute;left:0;text-align:left;margin-left:246.7pt;margin-top:16.85pt;width:12.8pt;height:12.05pt;z-index:251749376" fillcolor="#7030a0"/>
        </w:pict>
      </w:r>
      <w:r>
        <w:rPr>
          <w:noProof/>
          <w:lang w:eastAsia="fr-FR"/>
        </w:rPr>
        <w:pict>
          <v:rect id="_x0000_s1038" style="position:absolute;left:0;text-align:left;margin-left:64.45pt;margin-top:9.95pt;width:205.85pt;height:161.6pt;z-index:251669504" fillcolor="white [3212]" stroked="f"/>
        </w:pict>
      </w:r>
    </w:p>
    <w:p w:rsidR="002111B1" w:rsidRDefault="005930C6" w:rsidP="002111B1">
      <w:pPr>
        <w:jc w:val="both"/>
      </w:pPr>
      <w:r>
        <w:rPr>
          <w:noProof/>
          <w:lang w:eastAsia="fr-FR"/>
        </w:rPr>
        <w:pict>
          <v:oval id="_x0000_s1043" style="position:absolute;left:0;text-align:left;margin-left:342.6pt;margin-top:20.45pt;width:21.2pt;height:19.7pt;z-index:251675648" fillcolor="#7030a0"/>
        </w:pict>
      </w:r>
    </w:p>
    <w:p w:rsidR="002111B1" w:rsidRDefault="005930C6" w:rsidP="002111B1">
      <w:pPr>
        <w:jc w:val="both"/>
      </w:pPr>
      <w:r>
        <w:rPr>
          <w:noProof/>
          <w:lang w:eastAsia="fr-FR"/>
        </w:rPr>
        <w:pict>
          <v:shape id="_x0000_s1055" type="#_x0000_t32" style="position:absolute;left:0;text-align:left;margin-left:270.3pt;margin-top:.15pt;width:199.35pt;height:110.55pt;flip:x;z-index:251687936" o:connectortype="straight" strokecolor="#002060" strokeweight="6pt">
            <v:stroke dashstyle="1 1"/>
          </v:shape>
        </w:pict>
      </w:r>
      <w:r>
        <w:rPr>
          <w:noProof/>
          <w:lang w:eastAsia="fr-FR"/>
        </w:rPr>
        <w:pict>
          <v:shape id="_x0000_s1056" type="#_x0000_t69" style="position:absolute;left:0;text-align:left;margin-left:384.25pt;margin-top:4.4pt;width:33pt;height:20.1pt;z-index:251688960" fillcolor="#002060" strokecolor="#002060"/>
        </w:pict>
      </w:r>
      <w:r>
        <w:rPr>
          <w:noProof/>
          <w:lang w:eastAsia="fr-FR"/>
        </w:rPr>
        <w:pict>
          <v:rect id="_x0000_s1060" style="position:absolute;left:0;text-align:left;margin-left:358.7pt;margin-top:4.4pt;width:17pt;height:17.5pt;z-index:251693056" fillcolor="#002060" strokecolor="#002060" strokeweight="4.5pt">
            <v:stroke linestyle="thinThick"/>
          </v:rect>
        </w:pict>
      </w:r>
    </w:p>
    <w:p w:rsidR="002111B1" w:rsidRDefault="005930C6" w:rsidP="002111B1">
      <w:pPr>
        <w:jc w:val="both"/>
      </w:pPr>
      <w:r>
        <w:rPr>
          <w:noProof/>
          <w:lang w:eastAsia="fr-FR"/>
        </w:rPr>
        <w:pict>
          <v:group id="_x0000_s1094" style="position:absolute;left:0;text-align:left;margin-left:258.05pt;margin-top:9.75pt;width:6.6pt;height:27.65pt;z-index:251769344" coordorigin="1792,14316" coordsize="132,553">
            <v:shape id="_x0000_s1095" type="#_x0000_t32" style="position:absolute;left:1792;top:14316;width:0;height:553" o:connectortype="straight" strokecolor="#7030a0" strokeweight="3pt"/>
            <v:shape id="_x0000_s1096" type="#_x0000_t32" style="position:absolute;left:1924;top:14316;width:0;height:553" o:connectortype="straight" strokecolor="#7030a0" strokeweight="3pt"/>
          </v:group>
        </w:pict>
      </w:r>
    </w:p>
    <w:p w:rsidR="002111B1" w:rsidRDefault="005930C6" w:rsidP="002111B1">
      <w:pPr>
        <w:jc w:val="both"/>
      </w:pPr>
      <w:r>
        <w:rPr>
          <w:noProof/>
          <w:lang w:eastAsia="fr-FR"/>
        </w:rPr>
        <w:pict>
          <v:shape id="_x0000_s1105" type="#_x0000_t32" style="position:absolute;left:0;text-align:left;margin-left:72.2pt;margin-top:22.2pt;width:81.55pt;height:87.1pt;flip:x;z-index:251777536" o:connectortype="straight" strokecolor="#7030a0">
            <v:stroke dashstyle="1 1" endcap="round"/>
          </v:shape>
        </w:pict>
      </w:r>
      <w:r>
        <w:rPr>
          <w:noProof/>
          <w:lang w:eastAsia="fr-FR"/>
        </w:rPr>
        <w:pict>
          <v:shape id="_x0000_s1077" type="#_x0000_t32" style="position:absolute;left:0;text-align:left;margin-left:401pt;margin-top:7pt;width:44.25pt;height:62.8pt;flip:x y;z-index:251714560" o:connectortype="straight" strokecolor="#7030a0" strokeweight="3pt">
            <v:stroke dashstyle="1 1" endarrow="block" endcap="round"/>
          </v:shape>
        </w:pict>
      </w:r>
    </w:p>
    <w:p w:rsidR="002111B1" w:rsidRDefault="005930C6" w:rsidP="002111B1">
      <w:pPr>
        <w:jc w:val="both"/>
      </w:pPr>
      <w:r>
        <w:rPr>
          <w:noProof/>
          <w:lang w:eastAsia="fr-FR"/>
        </w:rPr>
        <w:pict>
          <v:shape id="_x0000_s1110" type="#_x0000_t202" style="position:absolute;left:0;text-align:left;margin-left:319.2pt;margin-top:6.2pt;width:123pt;height:34.55pt;z-index:251782656" filled="f" stroked="f">
            <v:textbox>
              <w:txbxContent>
                <w:p w:rsidR="00004573" w:rsidRPr="00004573" w:rsidRDefault="00004573" w:rsidP="00004573">
                  <w:pPr>
                    <w:rPr>
                      <w:rFonts w:ascii="Comic Sans MS" w:hAnsi="Comic Sans MS"/>
                      <w:sz w:val="28"/>
                      <w:szCs w:val="28"/>
                    </w:rPr>
                  </w:pPr>
                  <w:r w:rsidRPr="00004573">
                    <w:rPr>
                      <w:rFonts w:ascii="Comic Sans MS" w:hAnsi="Comic Sans MS"/>
                      <w:sz w:val="28"/>
                      <w:szCs w:val="28"/>
                    </w:rPr>
                    <w:t>Méditerranée</w:t>
                  </w:r>
                </w:p>
              </w:txbxContent>
            </v:textbox>
          </v:shape>
        </w:pict>
      </w:r>
    </w:p>
    <w:p w:rsidR="002111B1" w:rsidRDefault="002111B1" w:rsidP="002111B1">
      <w:pPr>
        <w:jc w:val="both"/>
      </w:pPr>
    </w:p>
    <w:p w:rsidR="002111B1" w:rsidRDefault="005930C6" w:rsidP="002111B1">
      <w:pPr>
        <w:jc w:val="both"/>
      </w:pPr>
      <w:r>
        <w:rPr>
          <w:noProof/>
          <w:lang w:eastAsia="fr-FR"/>
        </w:rPr>
        <w:pict>
          <v:shape id="_x0000_s1111" type="#_x0000_t202" style="position:absolute;left:0;text-align:left;margin-left:38.45pt;margin-top:2.4pt;width:46.25pt;height:34.55pt;z-index:251783680" filled="f" stroked="f">
            <v:textbox>
              <w:txbxContent>
                <w:p w:rsidR="00004573" w:rsidRPr="00004573" w:rsidRDefault="00004573" w:rsidP="00004573">
                  <w:pPr>
                    <w:rPr>
                      <w:rFonts w:ascii="Comic Sans MS" w:hAnsi="Comic Sans MS"/>
                      <w:sz w:val="28"/>
                      <w:szCs w:val="28"/>
                    </w:rPr>
                  </w:pPr>
                  <w:r>
                    <w:rPr>
                      <w:rFonts w:ascii="Comic Sans MS" w:hAnsi="Comic Sans MS"/>
                      <w:sz w:val="28"/>
                      <w:szCs w:val="28"/>
                    </w:rPr>
                    <w:t>RUP</w:t>
                  </w:r>
                </w:p>
              </w:txbxContent>
            </v:textbox>
          </v:shape>
        </w:pict>
      </w:r>
      <w:r>
        <w:rPr>
          <w:noProof/>
          <w:lang w:eastAsia="fr-FR"/>
        </w:rPr>
        <w:pict>
          <v:shape id="_x0000_s1106" type="#_x0000_t32" style="position:absolute;left:0;text-align:left;margin-left:92pt;margin-top:12.2pt;width:0;height:39pt;flip:y;z-index:251778560" o:connectortype="straight" strokecolor="#974706 [1609]" strokeweight="6pt"/>
        </w:pict>
      </w:r>
      <w:r>
        <w:rPr>
          <w:noProof/>
          <w:lang w:eastAsia="fr-FR"/>
        </w:rPr>
        <w:pict>
          <v:group id="_x0000_s1103" style="position:absolute;left:0;text-align:left;margin-left:71.95pt;margin-top:12.2pt;width:42.25pt;height:39pt;z-index:251775488" coordorigin="1414,11905" coordsize="1548,1652">
            <v:shape id="_x0000_s1101" type="#_x0000_t95" style="position:absolute;left:1350;top:11969;width:1652;height:1524;rotation:90" adj=",144" fillcolor="#d8d8d8 [2732]" stroked="f"/>
            <v:shape id="_x0000_s1102" type="#_x0000_t95" style="position:absolute;left:1374;top:11969;width:1652;height:1524;rotation:270" adj=",144" fillcolor="#92d050" stroked="f"/>
          </v:group>
        </w:pict>
      </w:r>
    </w:p>
    <w:p w:rsidR="002111B1" w:rsidRDefault="005930C6" w:rsidP="002111B1">
      <w:pPr>
        <w:jc w:val="both"/>
      </w:pPr>
      <w:r>
        <w:rPr>
          <w:noProof/>
          <w:lang w:eastAsia="fr-FR"/>
        </w:rPr>
        <w:pict>
          <v:oval id="_x0000_s1104" style="position:absolute;left:0;text-align:left;margin-left:68.15pt;margin-top:.45pt;width:12.8pt;height:12.05pt;z-index:251776512" fillcolor="#7030a0"/>
        </w:pict>
      </w:r>
    </w:p>
    <w:p w:rsidR="002111B1" w:rsidRDefault="002111B1" w:rsidP="002111B1">
      <w:pPr>
        <w:jc w:val="both"/>
      </w:pPr>
    </w:p>
    <w:p w:rsidR="002111B1" w:rsidRDefault="002111B1" w:rsidP="002111B1">
      <w:pPr>
        <w:jc w:val="both"/>
      </w:pPr>
    </w:p>
    <w:p w:rsidR="002111B1" w:rsidRDefault="002111B1" w:rsidP="002111B1">
      <w:pPr>
        <w:jc w:val="both"/>
      </w:pPr>
    </w:p>
    <w:p w:rsidR="002111B1" w:rsidRDefault="00A136B0" w:rsidP="002111B1">
      <w:pPr>
        <w:jc w:val="both"/>
      </w:pPr>
      <w:r>
        <w:lastRenderedPageBreak/>
        <w:t>Légende :</w:t>
      </w:r>
    </w:p>
    <w:p w:rsidR="00207E12" w:rsidRDefault="00207E12" w:rsidP="00207E12">
      <w:pPr>
        <w:jc w:val="both"/>
        <w:rPr>
          <w:b/>
          <w:color w:val="FF0000"/>
          <w:sz w:val="24"/>
          <w:szCs w:val="24"/>
        </w:rPr>
      </w:pPr>
      <w:r>
        <w:rPr>
          <w:b/>
          <w:color w:val="FF0000"/>
          <w:sz w:val="24"/>
          <w:szCs w:val="24"/>
        </w:rPr>
        <w:t>I. </w:t>
      </w:r>
      <w:r w:rsidR="00A136B0" w:rsidRPr="00207E12">
        <w:rPr>
          <w:b/>
          <w:color w:val="FF0000"/>
          <w:sz w:val="24"/>
          <w:szCs w:val="24"/>
        </w:rPr>
        <w:t>Un réseau urbain centré sur Paris, ville-mondiale intégré à l’Ar</w:t>
      </w:r>
      <w:r>
        <w:rPr>
          <w:b/>
          <w:color w:val="FF0000"/>
          <w:sz w:val="24"/>
          <w:szCs w:val="24"/>
        </w:rPr>
        <w:t>chipel Métropolitain Mondial AMM</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207E12" w:rsidP="0083451C">
            <w:pPr>
              <w:jc w:val="both"/>
              <w:rPr>
                <w:b/>
                <w:color w:val="002060"/>
              </w:rPr>
            </w:pPr>
            <w:r>
              <w:rPr>
                <w:b/>
                <w:noProof/>
                <w:color w:val="002060"/>
                <w:lang w:eastAsia="fr-FR"/>
              </w:rPr>
              <w:pict>
                <v:oval id="_x0000_s1113" style="position:absolute;left:0;text-align:left;margin-left:17.7pt;margin-top:6.8pt;width:38.85pt;height:36pt;z-index:251785728" fillcolor="#7030a0"/>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villes mondiales (Saskia SASSEN) intégrées dans l’Archipel Métropolitaine Mondial (AMM), un réseau de villes mondiales. Plus de 8 millions d’habitants en moyenne. Rôle de métropole à toutes les échelles. Concentre les activités quaternaires (Services rares à haute valeur ajoutée). Population à hauts revenus. Hub aérien et portuaire d’influence mondiale. Sièges d’institutions internationales, d’administrations publiques nationales et de FTN.</w:t>
            </w:r>
          </w:p>
        </w:tc>
      </w:tr>
      <w:tr w:rsidR="00207E12" w:rsidTr="0083451C">
        <w:tc>
          <w:tcPr>
            <w:tcW w:w="1951" w:type="dxa"/>
          </w:tcPr>
          <w:p w:rsidR="00207E12" w:rsidRDefault="00207E12" w:rsidP="0083451C">
            <w:pPr>
              <w:jc w:val="both"/>
              <w:rPr>
                <w:b/>
                <w:color w:val="002060"/>
              </w:rPr>
            </w:pPr>
            <w:r>
              <w:rPr>
                <w:b/>
                <w:noProof/>
                <w:color w:val="002060"/>
                <w:lang w:eastAsia="fr-FR"/>
              </w:rPr>
              <w:pict>
                <v:oval id="_x0000_s1114" style="position:absolute;left:0;text-align:left;margin-left:8.7pt;margin-top:10.9pt;width:21.2pt;height:19.7pt;z-index:251786752;mso-position-horizontal-relative:text;mso-position-vertical-relative:text" fillcolor="#7030a0"/>
              </w:pict>
            </w:r>
          </w:p>
          <w:p w:rsidR="00207E12" w:rsidRDefault="00207E12" w:rsidP="0083451C">
            <w:pPr>
              <w:jc w:val="both"/>
              <w:rPr>
                <w:b/>
                <w:color w:val="002060"/>
              </w:rPr>
            </w:pPr>
            <w:r>
              <w:rPr>
                <w:b/>
                <w:noProof/>
                <w:color w:val="002060"/>
                <w:lang w:eastAsia="fr-FR"/>
              </w:rPr>
              <w:pict>
                <v:oval id="_x0000_s1115" style="position:absolute;left:0;text-align:left;margin-left:53.6pt;margin-top:1.85pt;width:12.8pt;height:12.05pt;z-index:251787776" fillcolor="#7030a0"/>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207E12" w:rsidTr="0083451C">
        <w:tc>
          <w:tcPr>
            <w:tcW w:w="1951" w:type="dxa"/>
          </w:tcPr>
          <w:p w:rsidR="00207E12" w:rsidRDefault="00207E12" w:rsidP="0083451C">
            <w:pPr>
              <w:jc w:val="both"/>
              <w:rPr>
                <w:b/>
                <w:color w:val="002060"/>
              </w:rPr>
            </w:pPr>
            <w:r>
              <w:rPr>
                <w:b/>
                <w:noProof/>
                <w:color w:val="002060"/>
                <w:lang w:eastAsia="fr-FR"/>
              </w:rPr>
              <w:pict>
                <v:roundrect id="_x0000_s1116" style="position:absolute;left:0;text-align:left;margin-left:0;margin-top:6.65pt;width:50.5pt;height:21.5pt;z-index:251788800;mso-position-horizontal-relative:text;mso-position-vertical-relative:text" arcsize=".5" strokecolor="#7030a0" strokeweight="3pt"/>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r>
              <w:rPr>
                <w:b/>
                <w:noProof/>
                <w:color w:val="002060"/>
                <w:lang w:eastAsia="fr-FR"/>
              </w:rPr>
              <w:pict>
                <v:roundrect id="_x0000_s1117" style="position:absolute;left:0;text-align:left;margin-left:0;margin-top:-.15pt;width:50.5pt;height:21.5pt;z-index:251789824" arcsize=".5" strokecolor="#7030a0" strokeweight="3pt">
                  <v:stroke dashstyle="1 1"/>
                </v:roundrect>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Mégalopoles. Mégalopoles en constitution. Conurbation de villes mondiales et de métropoles principales. Les centres de chacun des pôles de la Triade, impulsent les rythmes économiques, les idées, les modes et les découvertes à l’échelle mondiale. Ce sont le cœur de la mondialisation.</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20" type="#_x0000_t12" style="position:absolute;left:0;text-align:left;margin-left:11.15pt;margin-top:6.45pt;width:30.45pt;height:33.05pt;z-index:251792896;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19" type="#_x0000_t5" style="position:absolute;left:0;text-align:left;margin-left:11.15pt;margin-top:4.35pt;width:26.7pt;height:25.85pt;z-index:251791872;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places financières. Les entreprises de cotation des valeurs économiques, les investisseurs spécialisés (les fonds d’investissement et de pensions, les banques d’investissements, les sociétés de change, les compagnies d’assurance et les sociétés de commerce) : ils émettent des flux financiers et en attirent.</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18" type="#_x0000_t56" style="position:absolute;left:0;text-align:left;margin-left:13.6pt;margin-top:2.75pt;width:28pt;height:28.85pt;z-index:251790848;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centres de recherche et les entreprises de haute technologie. Armature de l’économie de la connaissance. L’innovation c’est le moteur de la croissance industrielle : la plus grande valeur ajoutée se réalise sur les produits innovants pour lesquels les clients sont prêts à payer le plus cher. Les marges attirent les actionnaires et donc les flux financiers. Être propriétaire de brevets c’est être propriétaire du futur.</w:t>
            </w:r>
          </w:p>
        </w:tc>
      </w:tr>
    </w:tbl>
    <w:p w:rsidR="00A136B0" w:rsidRDefault="00A136B0" w:rsidP="002111B1">
      <w:pPr>
        <w:jc w:val="both"/>
        <w:rPr>
          <w:b/>
          <w:color w:val="FF0000"/>
          <w:sz w:val="24"/>
          <w:szCs w:val="24"/>
        </w:rPr>
      </w:pPr>
      <w:r>
        <w:rPr>
          <w:b/>
          <w:color w:val="FF0000"/>
          <w:sz w:val="24"/>
          <w:szCs w:val="24"/>
        </w:rPr>
        <w:t>II. Un réseau de communication qui renforce la macrocéphalie parisienne et assure à la France un</w:t>
      </w:r>
      <w:r w:rsidR="003E4F99">
        <w:rPr>
          <w:b/>
          <w:color w:val="FF0000"/>
          <w:sz w:val="24"/>
          <w:szCs w:val="24"/>
        </w:rPr>
        <w:t>e</w:t>
      </w:r>
      <w:r>
        <w:rPr>
          <w:b/>
          <w:color w:val="FF0000"/>
          <w:sz w:val="24"/>
          <w:szCs w:val="24"/>
        </w:rPr>
        <w:t xml:space="preserve"> grande ouverture sur le monde, et ce à toutes les échelles. </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207E12" w:rsidP="0083451C">
            <w:pPr>
              <w:jc w:val="both"/>
              <w:rPr>
                <w:b/>
                <w:color w:val="002060"/>
              </w:rPr>
            </w:pPr>
          </w:p>
          <w:p w:rsidR="00207E12" w:rsidRDefault="00207E12" w:rsidP="0083451C">
            <w:pPr>
              <w:jc w:val="both"/>
              <w:rPr>
                <w:b/>
                <w:color w:val="002060"/>
              </w:rPr>
            </w:pPr>
            <w:r>
              <w:rPr>
                <w:b/>
                <w:noProof/>
                <w:color w:val="002060"/>
                <w:lang w:eastAsia="fr-FR"/>
              </w:rPr>
              <w:pict>
                <v:shape id="_x0000_s1155" type="#_x0000_t32" style="position:absolute;left:0;text-align:left;margin-left:9.95pt;margin-top:.6pt;width:36.75pt;height:0;z-index:251826688" o:connectortype="straight" strokecolor="#7030a0" strokeweight="3pt"/>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207E12" w:rsidTr="0083451C">
        <w:tc>
          <w:tcPr>
            <w:tcW w:w="1951" w:type="dxa"/>
          </w:tcPr>
          <w:p w:rsidR="00207E12" w:rsidRDefault="00D12F46" w:rsidP="0083451C">
            <w:pPr>
              <w:jc w:val="both"/>
              <w:rPr>
                <w:b/>
                <w:color w:val="002060"/>
              </w:rPr>
            </w:pPr>
            <w:r>
              <w:rPr>
                <w:b/>
                <w:noProof/>
                <w:color w:val="002060"/>
                <w:lang w:eastAsia="fr-FR"/>
              </w:rPr>
              <w:pict>
                <v:group id="_x0000_s1190" style="position:absolute;left:0;text-align:left;margin-left:17.7pt;margin-top:-5.25pt;width:6.6pt;height:27.65pt;rotation:90;z-index:251856384;mso-position-horizontal-relative:text;mso-position-vertical-relative:text" coordorigin="1792,14316" coordsize="132,553">
                  <v:shape id="_x0000_s1191" type="#_x0000_t32" style="position:absolute;left:1792;top:14316;width:0;height:553" o:connectortype="straight" strokecolor="#7030a0" strokeweight="3pt"/>
                  <v:shape id="_x0000_s1192" type="#_x0000_t32" style="position:absolute;left:1924;top:14316;width:0;height:553" o:connectortype="straight" strokecolor="#7030a0" strokeweight="3pt"/>
                </v:group>
              </w:pict>
            </w:r>
          </w:p>
        </w:tc>
        <w:tc>
          <w:tcPr>
            <w:tcW w:w="8655" w:type="dxa"/>
          </w:tcPr>
          <w:p w:rsidR="00207E12" w:rsidRDefault="00207E12" w:rsidP="0083451C">
            <w:pPr>
              <w:jc w:val="both"/>
              <w:rPr>
                <w:b/>
                <w:color w:val="002060"/>
              </w:rPr>
            </w:pPr>
            <w:r>
              <w:rPr>
                <w:b/>
                <w:color w:val="002060"/>
              </w:rPr>
              <w:t>Seuils naturels et / aménagés. Ils assurent l’ouverture du territoire, et ce à toutes les échelles, régionales et continentales dans un premier temps.</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53" type="#_x0000_t32" style="position:absolute;left:0;text-align:left;margin-left:8.7pt;margin-top:10.75pt;width:30.05pt;height:0;z-index:251824640;mso-position-horizontal-relative:text;mso-position-vertical-relative:text" o:connectortype="straight" strokecolor="#7030a0" strokeweight="3pt">
                  <v:stroke endarrow="block"/>
                </v:shape>
              </w:pict>
            </w:r>
          </w:p>
          <w:p w:rsidR="00207E12" w:rsidRDefault="00207E12" w:rsidP="0083451C">
            <w:pPr>
              <w:jc w:val="both"/>
              <w:rPr>
                <w:b/>
                <w:color w:val="002060"/>
              </w:rPr>
            </w:pPr>
          </w:p>
          <w:p w:rsidR="00207E12" w:rsidRDefault="00207E12" w:rsidP="0083451C">
            <w:pPr>
              <w:jc w:val="both"/>
              <w:rPr>
                <w:b/>
                <w:color w:val="002060"/>
              </w:rPr>
            </w:pPr>
            <w:r>
              <w:rPr>
                <w:b/>
                <w:noProof/>
                <w:color w:val="002060"/>
                <w:lang w:eastAsia="fr-FR"/>
              </w:rPr>
              <w:pict>
                <v:shape id="_x0000_s1154" type="#_x0000_t32" style="position:absolute;left:0;text-align:left;margin-left:8.9pt;margin-top:3.55pt;width:41.25pt;height:0;z-index:251825664" o:connectortype="straight" strokecolor="#7030a0" strokeweight="3pt">
                  <v:stroke dashstyle="1 1" endarrow="block" endcap="round"/>
                </v:shape>
              </w:pict>
            </w:r>
          </w:p>
        </w:tc>
        <w:tc>
          <w:tcPr>
            <w:tcW w:w="8655" w:type="dxa"/>
          </w:tcPr>
          <w:p w:rsidR="00207E12" w:rsidRDefault="00207E12" w:rsidP="0083451C">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52" type="#_x0000_t69" style="position:absolute;left:0;text-align:left;margin-left:33.4pt;margin-top:3.45pt;width:33pt;height:20.1pt;z-index:251823616;mso-position-horizontal-relative:text;mso-position-vertical-relative:text" fillcolor="#002060" strokecolor="#002060"/>
              </w:pict>
            </w:r>
            <w:r>
              <w:rPr>
                <w:b/>
                <w:noProof/>
                <w:color w:val="002060"/>
                <w:lang w:eastAsia="fr-FR"/>
              </w:rPr>
              <w:pict>
                <v:rect id="_x0000_s1156" style="position:absolute;left:0;text-align:left;margin-left:0;margin-top:6.05pt;width:17pt;height:17.5pt;z-index:251827712;mso-position-horizontal-relative:text;mso-position-vertical-relative:text" fillcolor="#002060" strokecolor="#002060" strokeweight="4.5pt">
                  <v:stroke linestyle="thinThick"/>
                </v:rect>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207E12" w:rsidTr="0083451C">
        <w:tc>
          <w:tcPr>
            <w:tcW w:w="1951" w:type="dxa"/>
          </w:tcPr>
          <w:p w:rsidR="00207E12" w:rsidRDefault="00207E12" w:rsidP="0083451C">
            <w:pPr>
              <w:jc w:val="both"/>
              <w:rPr>
                <w:b/>
                <w:color w:val="002060"/>
              </w:rPr>
            </w:pPr>
            <w:r>
              <w:rPr>
                <w:b/>
                <w:noProof/>
                <w:color w:val="002060"/>
                <w:lang w:eastAsia="fr-FR"/>
              </w:rPr>
              <w:pict>
                <v:shape id="_x0000_s1151" type="#_x0000_t32" style="position:absolute;left:0;text-align:left;margin-left:9.8pt;margin-top:5.65pt;width:47.75pt;height:.05pt;z-index:251822592;mso-position-horizontal-relative:text;mso-position-vertical-relative:text" o:connectortype="straight" strokecolor="#002060" strokeweight="6pt">
                  <v:stroke dashstyle="1 1"/>
                </v:shape>
              </w:pict>
            </w:r>
          </w:p>
        </w:tc>
        <w:tc>
          <w:tcPr>
            <w:tcW w:w="8655" w:type="dxa"/>
          </w:tcPr>
          <w:p w:rsidR="00207E12" w:rsidRDefault="00207E12" w:rsidP="0083451C">
            <w:pPr>
              <w:jc w:val="both"/>
              <w:rPr>
                <w:b/>
                <w:color w:val="002060"/>
              </w:rPr>
            </w:pPr>
            <w:r>
              <w:rPr>
                <w:b/>
                <w:color w:val="002060"/>
              </w:rPr>
              <w:t xml:space="preserve">Zones Industrialo-portuaires majeures à influence mondiale. Concentrations de hubs maritimes et d’entreprises industrielles. </w:t>
            </w:r>
          </w:p>
        </w:tc>
      </w:tr>
      <w:tr w:rsidR="00207E12" w:rsidTr="0083451C">
        <w:tc>
          <w:tcPr>
            <w:tcW w:w="1951" w:type="dxa"/>
          </w:tcPr>
          <w:p w:rsidR="00207E12" w:rsidRDefault="00D12F46" w:rsidP="0083451C">
            <w:pPr>
              <w:jc w:val="both"/>
              <w:rPr>
                <w:b/>
                <w:noProof/>
                <w:color w:val="002060"/>
                <w:lang w:eastAsia="fr-FR"/>
              </w:rPr>
            </w:pPr>
            <w:r>
              <w:rPr>
                <w:b/>
                <w:noProof/>
                <w:color w:val="002060"/>
                <w:lang w:eastAsia="fr-FR"/>
              </w:rPr>
              <w:pict>
                <v:rect id="_x0000_s1186" style="position:absolute;left:0;text-align:left;margin-left:.9pt;margin-top:18.95pt;width:40.7pt;height:20.55pt;z-index:251852288;mso-position-horizontal-relative:text;mso-position-vertical-relative:text" fillcolor="#0070c0">
                  <v:fill r:id="rId6" o:title="5 %" color2="#b8cce4 [1300]" type="pattern"/>
                </v:rect>
              </w:pict>
            </w:r>
          </w:p>
        </w:tc>
        <w:tc>
          <w:tcPr>
            <w:tcW w:w="8655" w:type="dxa"/>
          </w:tcPr>
          <w:p w:rsidR="00207E12" w:rsidRDefault="00207E12" w:rsidP="0083451C">
            <w:pPr>
              <w:jc w:val="both"/>
              <w:rPr>
                <w:b/>
                <w:color w:val="002060"/>
              </w:rPr>
            </w:pPr>
          </w:p>
          <w:p w:rsidR="00207E12" w:rsidRDefault="00207E12" w:rsidP="0083451C">
            <w:pPr>
              <w:jc w:val="both"/>
              <w:rPr>
                <w:b/>
                <w:color w:val="002060"/>
              </w:rPr>
            </w:pPr>
            <w:r>
              <w:rPr>
                <w:b/>
                <w:color w:val="002060"/>
              </w:rPr>
              <w:t>Zones maritimes exploitées (Zone Économique Exclusive, ZEE, mais aussi tourisme nautique et balnéaire, voies maritimes stratégiques surveillées et zones de pêche côtières et d’aquaculture…</w:t>
            </w:r>
            <w:r w:rsidR="00D12F46">
              <w:rPr>
                <w:b/>
                <w:color w:val="002060"/>
              </w:rPr>
              <w:t> </w:t>
            </w:r>
          </w:p>
        </w:tc>
      </w:tr>
      <w:tr w:rsidR="00D12F46" w:rsidTr="0083451C">
        <w:tc>
          <w:tcPr>
            <w:tcW w:w="1951" w:type="dxa"/>
          </w:tcPr>
          <w:p w:rsidR="00D12F46" w:rsidRDefault="00D12F46" w:rsidP="0083451C">
            <w:pPr>
              <w:jc w:val="both"/>
              <w:rPr>
                <w:b/>
                <w:noProof/>
                <w:color w:val="002060"/>
                <w:lang w:eastAsia="fr-FR"/>
              </w:rPr>
            </w:pPr>
            <w:r>
              <w:rPr>
                <w:b/>
                <w:noProof/>
                <w:color w:val="002060"/>
                <w:lang w:eastAsia="fr-FR"/>
              </w:rPr>
              <w:pict>
                <v:shape id="_x0000_s1189" type="#_x0000_t32" style="position:absolute;left:0;text-align:left;margin-left:.9pt;margin-top:5.5pt;width:40.7pt;height:0;flip:x;z-index:251855360;mso-position-horizontal-relative:text;mso-position-vertical-relative:text" o:connectortype="straight" strokecolor="#974706 [1609]" strokeweight="6pt"/>
              </w:pict>
            </w:r>
          </w:p>
        </w:tc>
        <w:tc>
          <w:tcPr>
            <w:tcW w:w="8655" w:type="dxa"/>
          </w:tcPr>
          <w:p w:rsidR="00D12F46" w:rsidRDefault="00D12F46" w:rsidP="0083451C">
            <w:pPr>
              <w:jc w:val="both"/>
              <w:rPr>
                <w:b/>
                <w:color w:val="002060"/>
              </w:rPr>
            </w:pPr>
            <w:r>
              <w:rPr>
                <w:b/>
                <w:color w:val="002060"/>
              </w:rPr>
              <w:t>Principales formations du relief contraignantes en termes de mobilités. </w:t>
            </w:r>
          </w:p>
        </w:tc>
      </w:tr>
      <w:tr w:rsidR="00207E12" w:rsidTr="0083451C">
        <w:tc>
          <w:tcPr>
            <w:tcW w:w="1951" w:type="dxa"/>
          </w:tcPr>
          <w:p w:rsidR="00207E12" w:rsidRDefault="00207E12" w:rsidP="0083451C">
            <w:pPr>
              <w:jc w:val="both"/>
              <w:rPr>
                <w:b/>
                <w:noProof/>
                <w:color w:val="002060"/>
                <w:lang w:eastAsia="fr-FR"/>
              </w:rPr>
            </w:pPr>
          </w:p>
        </w:tc>
        <w:tc>
          <w:tcPr>
            <w:tcW w:w="8655" w:type="dxa"/>
          </w:tcPr>
          <w:p w:rsidR="00207E12" w:rsidRDefault="00207E12" w:rsidP="0083451C">
            <w:pPr>
              <w:jc w:val="both"/>
              <w:rPr>
                <w:b/>
                <w:color w:val="002060"/>
              </w:rPr>
            </w:pPr>
          </w:p>
          <w:p w:rsidR="00207E12" w:rsidRDefault="00207E12" w:rsidP="0083451C">
            <w:pPr>
              <w:jc w:val="both"/>
              <w:rPr>
                <w:b/>
                <w:color w:val="002060"/>
              </w:rPr>
            </w:pPr>
          </w:p>
        </w:tc>
      </w:tr>
    </w:tbl>
    <w:p w:rsidR="00A136B0" w:rsidRPr="00A136B0" w:rsidRDefault="00A136B0" w:rsidP="002111B1">
      <w:pPr>
        <w:jc w:val="both"/>
        <w:rPr>
          <w:b/>
          <w:color w:val="FF0000"/>
          <w:sz w:val="24"/>
          <w:szCs w:val="24"/>
        </w:rPr>
      </w:pPr>
      <w:r>
        <w:rPr>
          <w:b/>
          <w:color w:val="FF0000"/>
          <w:sz w:val="24"/>
          <w:szCs w:val="24"/>
        </w:rPr>
        <w:lastRenderedPageBreak/>
        <w:t>III. Des niveaux de développement économique différenciés. </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207E12" w:rsidP="0083451C">
            <w:pPr>
              <w:jc w:val="both"/>
              <w:rPr>
                <w:b/>
                <w:color w:val="002060"/>
              </w:rPr>
            </w:pPr>
            <w:r>
              <w:rPr>
                <w:b/>
                <w:noProof/>
                <w:color w:val="002060"/>
                <w:lang w:eastAsia="fr-FR"/>
              </w:rPr>
              <w:pict>
                <v:rect id="_x0000_s1169" style="position:absolute;left:0;text-align:left;margin-left:5.6pt;margin-top:12.35pt;width:40.7pt;height:20.55pt;z-index:251838976" fillcolor="red"/>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r>
              <w:rPr>
                <w:b/>
                <w:noProof/>
                <w:color w:val="002060"/>
                <w:lang w:eastAsia="fr-FR"/>
              </w:rPr>
              <w:pict>
                <v:rect id="_x0000_s1170" style="position:absolute;left:0;text-align:left;margin-left:5.6pt;margin-top:9.3pt;width:40.7pt;height:20.55pt;z-index:251840000" fillcolor="#ffc000"/>
              </w:pict>
            </w:r>
          </w:p>
          <w:p w:rsidR="00207E12" w:rsidRDefault="00207E12" w:rsidP="0083451C">
            <w:pPr>
              <w:jc w:val="both"/>
              <w:rPr>
                <w:b/>
                <w:color w:val="002060"/>
              </w:rPr>
            </w:pPr>
            <w:r>
              <w:rPr>
                <w:b/>
                <w:noProof/>
                <w:color w:val="002060"/>
                <w:lang w:eastAsia="fr-FR"/>
              </w:rPr>
              <w:pict>
                <v:rect id="_x0000_s1171" style="position:absolute;left:0;text-align:left;margin-left:5.6pt;margin-top:27.9pt;width:40.7pt;height:20.55pt;z-index:251841024" fillcolor="yellow"/>
              </w:pict>
            </w:r>
          </w:p>
        </w:tc>
        <w:tc>
          <w:tcPr>
            <w:tcW w:w="8655" w:type="dxa"/>
          </w:tcPr>
          <w:p w:rsidR="00207E12" w:rsidRDefault="00207E12" w:rsidP="0083451C">
            <w:pPr>
              <w:jc w:val="both"/>
              <w:rPr>
                <w:b/>
                <w:color w:val="002060"/>
              </w:rPr>
            </w:pPr>
            <w:r>
              <w:rPr>
                <w:b/>
                <w:color w:val="002060"/>
              </w:rPr>
              <w:t>Les espaces industriels intégrés à la mondialisation. Les espaces industriels les plus intégrés à la mondialisation sont sur les littoraux, industrie de haute technologie (Biotechnologie, robotique, industries optiques et militaires, industries aéronautiques et spatiales…). Population riche et développée : PIB/hab./an/PPA/US$ supérieur à 25 000, IDH très élevé 0,850.</w:t>
            </w:r>
          </w:p>
          <w:p w:rsidR="00207E12" w:rsidRDefault="00207E12" w:rsidP="0083451C">
            <w:pPr>
              <w:jc w:val="both"/>
              <w:rPr>
                <w:b/>
                <w:color w:val="002060"/>
              </w:rPr>
            </w:pPr>
            <w:r>
              <w:rPr>
                <w:b/>
                <w:color w:val="002060"/>
              </w:rPr>
              <w:t>Les espaces moyennement intégrés : activités industrielles d’assemblage, industrie automobile.</w:t>
            </w:r>
          </w:p>
          <w:p w:rsidR="00207E12" w:rsidRDefault="00207E12" w:rsidP="0083451C">
            <w:pPr>
              <w:jc w:val="both"/>
              <w:rPr>
                <w:b/>
                <w:color w:val="002060"/>
              </w:rPr>
            </w:pPr>
            <w:r>
              <w:rPr>
                <w:b/>
                <w:color w:val="002060"/>
              </w:rPr>
              <w:t xml:space="preserve">Espaces industriels peu intégrés en cours de croissance : activités d’industrie de base (Chimie, sidérurgie, construction navale, textile, pétrochimie). </w:t>
            </w:r>
          </w:p>
        </w:tc>
      </w:tr>
      <w:tr w:rsidR="00207E12" w:rsidTr="0083451C">
        <w:tc>
          <w:tcPr>
            <w:tcW w:w="1951" w:type="dxa"/>
          </w:tcPr>
          <w:p w:rsidR="00207E12" w:rsidRDefault="00207E12" w:rsidP="0083451C">
            <w:pPr>
              <w:ind w:firstLine="708"/>
              <w:jc w:val="both"/>
              <w:rPr>
                <w:b/>
                <w:color w:val="002060"/>
              </w:rPr>
            </w:pPr>
            <w:r>
              <w:rPr>
                <w:b/>
                <w:noProof/>
                <w:color w:val="002060"/>
                <w:lang w:eastAsia="fr-FR"/>
              </w:rPr>
              <w:pict>
                <v:rect id="_x0000_s1173" style="position:absolute;left:0;text-align:left;margin-left:5.6pt;margin-top:26pt;width:40.7pt;height:20.55pt;z-index:251843072;mso-position-horizontal-relative:text;mso-position-vertical-relative:text" filled="f" fillcolor="#ffc000"/>
              </w:pict>
            </w:r>
            <w:r>
              <w:rPr>
                <w:b/>
                <w:noProof/>
                <w:color w:val="002060"/>
                <w:lang w:eastAsia="fr-FR"/>
              </w:rPr>
              <w:pict>
                <v:rect id="_x0000_s1172" style="position:absolute;left:0;text-align:left;margin-left:5.6pt;margin-top:5.45pt;width:40.7pt;height:20.55pt;z-index:251842048;mso-position-horizontal-relative:text;mso-position-vertical-relative:text" fillcolor="#92d050"/>
              </w:pict>
            </w:r>
            <w:r>
              <w:rPr>
                <w:b/>
                <w:noProof/>
                <w:color w:val="002060"/>
                <w:lang w:eastAsia="fr-FR"/>
              </w:rPr>
              <w:pict>
                <v:rect id="_x0000_s1174" style="position:absolute;left:0;text-align:left;margin-left:5.6pt;margin-top:46.55pt;width:40.7pt;height:20.55pt;z-index:251844096;mso-position-horizontal-relative:text;mso-position-vertical-relative:text" fillcolor="#bfbfbf [2412]"/>
              </w:pict>
            </w:r>
          </w:p>
          <w:p w:rsidR="00207E12" w:rsidRDefault="00207E12" w:rsidP="0083451C">
            <w:pPr>
              <w:ind w:firstLine="708"/>
              <w:jc w:val="both"/>
              <w:rPr>
                <w:b/>
                <w:color w:val="002060"/>
              </w:rPr>
            </w:pPr>
          </w:p>
          <w:p w:rsidR="00207E12" w:rsidRDefault="00207E12" w:rsidP="0083451C">
            <w:pPr>
              <w:ind w:firstLine="708"/>
              <w:jc w:val="both"/>
              <w:rPr>
                <w:b/>
                <w:color w:val="002060"/>
              </w:rPr>
            </w:pPr>
          </w:p>
          <w:p w:rsidR="00207E12" w:rsidRDefault="00207E12" w:rsidP="0083451C">
            <w:pPr>
              <w:ind w:firstLine="708"/>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espaces périphériques. Les espaces agricoles d’agriculture intensive ou extensive, créateurs de richesse quand ils sont intégrés aux IAA.</w:t>
            </w:r>
          </w:p>
          <w:p w:rsidR="00207E12" w:rsidRDefault="00207E12" w:rsidP="0083451C">
            <w:pPr>
              <w:jc w:val="both"/>
              <w:rPr>
                <w:b/>
                <w:color w:val="002060"/>
              </w:rPr>
            </w:pPr>
            <w:r>
              <w:rPr>
                <w:b/>
                <w:color w:val="002060"/>
              </w:rPr>
              <w:t>Les espaces réserves (Réserves d’espace ou de matières premières).</w:t>
            </w:r>
          </w:p>
          <w:p w:rsidR="00207E12" w:rsidRDefault="00207E12" w:rsidP="0083451C">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r w:rsidR="00D12F46" w:rsidTr="0083451C">
        <w:tc>
          <w:tcPr>
            <w:tcW w:w="1951" w:type="dxa"/>
          </w:tcPr>
          <w:p w:rsidR="00D12F46" w:rsidRDefault="00D12F46" w:rsidP="0083451C">
            <w:pPr>
              <w:ind w:firstLine="708"/>
              <w:jc w:val="both"/>
              <w:rPr>
                <w:b/>
                <w:noProof/>
                <w:color w:val="002060"/>
                <w:lang w:eastAsia="fr-FR"/>
              </w:rPr>
            </w:pPr>
            <w:r>
              <w:rPr>
                <w:noProof/>
                <w:lang w:eastAsia="fr-FR"/>
              </w:rPr>
              <w:pict>
                <v:rect id="_x0000_s1187" style="position:absolute;left:0;text-align:left;margin-left:42.75pt;margin-top:1.3pt;width:24.75pt;height:27.15pt;z-index:251853312;mso-position-horizontal-relative:text;mso-position-vertical-relative:text" fillcolor="white [3212]" strokecolor="#002060" strokeweight="4.5pt">
                  <v:stroke dashstyle="1 1"/>
                </v:rect>
              </w:pict>
            </w:r>
            <w:r>
              <w:rPr>
                <w:noProof/>
                <w:lang w:eastAsia="fr-FR"/>
              </w:rPr>
              <w:pict>
                <v:rect id="_x0000_s1188" style="position:absolute;left:0;text-align:left;margin-left:5.6pt;margin-top:1.3pt;width:23.7pt;height:24.7pt;z-index:251854336;mso-position-horizontal-relative:text;mso-position-vertical-relative:text" fillcolor="white [3212]" strokecolor="#00b050" strokeweight="4.5pt">
                  <v:stroke dashstyle="1 1"/>
                </v:rect>
              </w:pict>
            </w:r>
          </w:p>
          <w:p w:rsidR="00D12F46" w:rsidRDefault="00D12F46" w:rsidP="0083451C">
            <w:pPr>
              <w:ind w:firstLine="708"/>
              <w:jc w:val="both"/>
              <w:rPr>
                <w:b/>
                <w:noProof/>
                <w:color w:val="002060"/>
                <w:lang w:eastAsia="fr-FR"/>
              </w:rPr>
            </w:pPr>
          </w:p>
          <w:p w:rsidR="00D12F46" w:rsidRDefault="00D12F46" w:rsidP="0083451C">
            <w:pPr>
              <w:ind w:firstLine="708"/>
              <w:jc w:val="both"/>
              <w:rPr>
                <w:b/>
                <w:noProof/>
                <w:color w:val="002060"/>
                <w:lang w:eastAsia="fr-FR"/>
              </w:rPr>
            </w:pPr>
          </w:p>
        </w:tc>
        <w:tc>
          <w:tcPr>
            <w:tcW w:w="8655" w:type="dxa"/>
          </w:tcPr>
          <w:p w:rsidR="00D12F46" w:rsidRDefault="00D12F46" w:rsidP="0083451C">
            <w:pPr>
              <w:jc w:val="both"/>
              <w:rPr>
                <w:b/>
                <w:color w:val="002060"/>
              </w:rPr>
            </w:pPr>
            <w:r>
              <w:rPr>
                <w:b/>
                <w:color w:val="002060"/>
              </w:rPr>
              <w:t>Les réserves et parcs naturels, terrestres et maritimes, préservation du littoral et de sa biodiversité dans le cadre du développement durable.</w:t>
            </w:r>
          </w:p>
        </w:tc>
      </w:tr>
    </w:tbl>
    <w:p w:rsidR="00207E12" w:rsidRPr="00916D1A" w:rsidRDefault="00207E12" w:rsidP="00207E12">
      <w:pPr>
        <w:jc w:val="both"/>
        <w:rPr>
          <w:b/>
          <w:color w:val="002060"/>
        </w:rPr>
      </w:pPr>
    </w:p>
    <w:p w:rsidR="002111B1" w:rsidRDefault="002111B1" w:rsidP="002111B1">
      <w:pPr>
        <w:jc w:val="both"/>
      </w:pPr>
    </w:p>
    <w:sectPr w:rsidR="002111B1" w:rsidSect="002111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721"/>
    <w:multiLevelType w:val="hybridMultilevel"/>
    <w:tmpl w:val="F20EA1D4"/>
    <w:lvl w:ilvl="0" w:tplc="15F015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111B1"/>
    <w:rsid w:val="00004573"/>
    <w:rsid w:val="00071DF1"/>
    <w:rsid w:val="001309E5"/>
    <w:rsid w:val="00173B57"/>
    <w:rsid w:val="00207E12"/>
    <w:rsid w:val="002111B1"/>
    <w:rsid w:val="002730E0"/>
    <w:rsid w:val="003E4F99"/>
    <w:rsid w:val="005930C6"/>
    <w:rsid w:val="005D1065"/>
    <w:rsid w:val="006A50B7"/>
    <w:rsid w:val="009B125C"/>
    <w:rsid w:val="009D5378"/>
    <w:rsid w:val="00A136B0"/>
    <w:rsid w:val="00AA3644"/>
    <w:rsid w:val="00B26C06"/>
    <w:rsid w:val="00B8047C"/>
    <w:rsid w:val="00D12F46"/>
    <w:rsid w:val="00D24435"/>
    <w:rsid w:val="00EA4F32"/>
    <w:rsid w:val="00FE49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29" type="connector" idref="#_x0000_s1058"/>
        <o:r id="V:Rule30" type="connector" idref="#_x0000_s1106"/>
        <o:r id="V:Rule31" type="connector" idref="#_x0000_s1099"/>
        <o:r id="V:Rule32" type="connector" idref="#_x0000_s1057"/>
        <o:r id="V:Rule33" type="connector" idref="#_x0000_s1105"/>
        <o:r id="V:Rule34" type="connector" idref="#_x0000_s1055"/>
        <o:r id="V:Rule35" type="connector" idref="#_x0000_s1098"/>
        <o:r id="V:Rule36" type="connector" idref="#_x0000_s1063"/>
        <o:r id="V:Rule37" type="connector" idref="#_x0000_s1077"/>
        <o:r id="V:Rule38" type="connector" idref="#_x0000_s1062"/>
        <o:r id="V:Rule39" type="connector" idref="#_x0000_s1096"/>
        <o:r id="V:Rule40" type="connector" idref="#_x0000_s1059"/>
        <o:r id="V:Rule41" type="connector" idref="#_x0000_s1061"/>
        <o:r id="V:Rule42" type="connector" idref="#_x0000_s1066"/>
        <o:r id="V:Rule43" type="connector" idref="#_x0000_s1088"/>
        <o:r id="V:Rule44" type="connector" idref="#_x0000_s1087"/>
        <o:r id="V:Rule45" type="connector" idref="#_x0000_s1067"/>
        <o:r id="V:Rule46" type="connector" idref="#_x0000_s1069"/>
        <o:r id="V:Rule47" type="connector" idref="#_x0000_s1068"/>
        <o:r id="V:Rule48" type="connector" idref="#_x0000_s1089"/>
        <o:r id="V:Rule49" type="connector" idref="#_x0000_s1076"/>
        <o:r id="V:Rule50" type="connector" idref="#_x0000_s1064"/>
        <o:r id="V:Rule51" type="connector" idref="#_x0000_s1075"/>
        <o:r id="V:Rule52" type="connector" idref="#_x0000_s1065"/>
        <o:r id="V:Rule53" type="connector" idref="#_x0000_s1095"/>
        <o:r id="V:Rule54" type="connector" idref="#_x0000_s1070"/>
        <o:r id="V:Rule55" type="connector" idref="#_x0000_s1090"/>
        <o:r id="V:Rule56" type="connector" idref="#_x0000_s1071"/>
        <o:r id="V:Rule61" type="connector" idref="#_x0000_s1154"/>
        <o:r id="V:Rule62" type="connector" idref="#_x0000_s1151"/>
        <o:r id="V:Rule63" type="connector" idref="#_x0000_s1153"/>
        <o:r id="V:Rule64" type="connector" idref="#_x0000_s1155"/>
        <o:r id="V:Rule69" type="connector" idref="#_x0000_s1189"/>
        <o:r id="V:Rule70" type="connector" idref="#_x0000_s1191"/>
        <o:r id="V:Rule71"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E12"/>
    <w:pPr>
      <w:ind w:left="720"/>
      <w:contextualSpacing/>
    </w:pPr>
  </w:style>
  <w:style w:type="table" w:styleId="Grilledutableau">
    <w:name w:val="Table Grid"/>
    <w:basedOn w:val="TableauNormal"/>
    <w:uiPriority w:val="59"/>
    <w:rsid w:val="00207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berth25e</cp:lastModifiedBy>
  <cp:revision>10</cp:revision>
  <dcterms:created xsi:type="dcterms:W3CDTF">2015-05-29T08:32:00Z</dcterms:created>
  <dcterms:modified xsi:type="dcterms:W3CDTF">2015-06-17T15:16:00Z</dcterms:modified>
</cp:coreProperties>
</file>