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AE" w:rsidRPr="008D3A9C" w:rsidRDefault="008D3A9C">
      <w:pPr>
        <w:rPr>
          <w:rFonts w:ascii="Comic Sans MS" w:hAnsi="Comic Sans MS"/>
          <w:sz w:val="28"/>
          <w:szCs w:val="28"/>
        </w:rPr>
      </w:pPr>
      <w:r w:rsidRPr="008D3A9C">
        <w:rPr>
          <w:rFonts w:ascii="Comic Sans MS" w:hAnsi="Comic Sans MS"/>
          <w:sz w:val="28"/>
          <w:szCs w:val="28"/>
        </w:rPr>
        <w:t>Légende :</w:t>
      </w:r>
    </w:p>
    <w:p w:rsidR="008D3A9C" w:rsidRPr="00C436C6" w:rsidRDefault="00C436C6" w:rsidP="00C436C6">
      <w:pPr>
        <w:jc w:val="both"/>
        <w:rPr>
          <w:rFonts w:ascii="Comic Sans MS" w:hAnsi="Comic Sans MS"/>
          <w:b/>
          <w:color w:val="FF0000"/>
          <w:sz w:val="28"/>
          <w:szCs w:val="28"/>
        </w:rPr>
      </w:pPr>
      <w:r w:rsidRPr="00C436C6">
        <w:rPr>
          <w:rFonts w:ascii="Comic Sans MS" w:hAnsi="Comic Sans MS"/>
          <w:b/>
          <w:color w:val="FF0000"/>
          <w:sz w:val="28"/>
          <w:szCs w:val="28"/>
        </w:rPr>
        <w:t>I.</w:t>
      </w:r>
      <w:r>
        <w:rPr>
          <w:rFonts w:ascii="Comic Sans MS" w:hAnsi="Comic Sans MS"/>
          <w:b/>
          <w:color w:val="FF0000"/>
          <w:sz w:val="28"/>
          <w:szCs w:val="28"/>
        </w:rPr>
        <w:t xml:space="preserve"> </w:t>
      </w:r>
      <w:r w:rsidRPr="00C436C6">
        <w:rPr>
          <w:rFonts w:ascii="Comic Sans MS" w:hAnsi="Comic Sans MS"/>
          <w:b/>
          <w:color w:val="FF0000"/>
          <w:sz w:val="28"/>
          <w:szCs w:val="28"/>
        </w:rPr>
        <w:t>Les territoire sous le vent concentrent les richesses et attirent les hommes et les activités au risque de la macrocéphalie.</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C436C6" w:rsidTr="002D3C4B">
        <w:tc>
          <w:tcPr>
            <w:tcW w:w="1951" w:type="dxa"/>
          </w:tcPr>
          <w:p w:rsidR="00C436C6" w:rsidRDefault="00272712" w:rsidP="002D3C4B">
            <w:pPr>
              <w:jc w:val="both"/>
              <w:rPr>
                <w:b/>
                <w:color w:val="002060"/>
              </w:rPr>
            </w:pPr>
            <w:r>
              <w:rPr>
                <w:b/>
                <w:noProof/>
                <w:color w:val="002060"/>
                <w:lang w:eastAsia="fr-FR"/>
              </w:rPr>
              <w:pict>
                <v:oval id="_x0000_s1170" style="position:absolute;left:0;text-align:left;margin-left:8.7pt;margin-top:10.9pt;width:21.2pt;height:19.7pt;z-index:251802624" fillcolor="#7030a0"/>
              </w:pict>
            </w:r>
          </w:p>
          <w:p w:rsidR="00C436C6" w:rsidRDefault="00272712" w:rsidP="002D3C4B">
            <w:pPr>
              <w:jc w:val="both"/>
              <w:rPr>
                <w:b/>
                <w:color w:val="002060"/>
              </w:rPr>
            </w:pPr>
            <w:r>
              <w:rPr>
                <w:b/>
                <w:noProof/>
                <w:color w:val="002060"/>
                <w:lang w:eastAsia="fr-FR"/>
              </w:rPr>
              <w:pict>
                <v:oval id="_x0000_s1171" style="position:absolute;left:0;text-align:left;margin-left:53.6pt;margin-top:1.85pt;width:12.8pt;height:12.05pt;z-index:251803648" fillcolor="#7030a0"/>
              </w:pict>
            </w:r>
          </w:p>
          <w:p w:rsidR="00C436C6" w:rsidRDefault="00C436C6" w:rsidP="002D3C4B">
            <w:pPr>
              <w:jc w:val="both"/>
              <w:rPr>
                <w:b/>
                <w:color w:val="002060"/>
              </w:rPr>
            </w:pPr>
          </w:p>
        </w:tc>
        <w:tc>
          <w:tcPr>
            <w:tcW w:w="8655" w:type="dxa"/>
          </w:tcPr>
          <w:p w:rsidR="00C436C6" w:rsidRDefault="00C436C6" w:rsidP="002D3C4B">
            <w:pPr>
              <w:jc w:val="both"/>
              <w:rPr>
                <w:b/>
                <w:color w:val="002060"/>
              </w:rPr>
            </w:pPr>
            <w:r>
              <w:rPr>
                <w:b/>
                <w:color w:val="002060"/>
              </w:rPr>
              <w:t xml:space="preserve">Métropoles d’influence continentale et régionale, métropoles secondaires. Intégrées dans un réseau urbain continental ou régional, indirectement connectées via les villes mondiales à l’AMM. Population riche, diplômée, plus jeune que la moyenne nationale, concentration d’entreprises dynamiques, de centres de recherche, de sièges d’institution et d’administrations. </w:t>
            </w:r>
          </w:p>
        </w:tc>
      </w:tr>
      <w:tr w:rsidR="00C436C6" w:rsidTr="002D3C4B">
        <w:tc>
          <w:tcPr>
            <w:tcW w:w="1951" w:type="dxa"/>
          </w:tcPr>
          <w:p w:rsidR="00C436C6" w:rsidRDefault="00272712" w:rsidP="002D3C4B">
            <w:pPr>
              <w:jc w:val="both"/>
              <w:rPr>
                <w:b/>
                <w:color w:val="002060"/>
              </w:rPr>
            </w:pPr>
            <w:r>
              <w:rPr>
                <w:b/>
                <w:noProof/>
                <w:color w:val="002060"/>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76" type="#_x0000_t12" style="position:absolute;left:0;text-align:left;margin-left:11.15pt;margin-top:6.45pt;width:30.45pt;height:33.05pt;z-index:251808768;mso-position-horizontal-relative:text;mso-position-vertical-relative:text" fillcolor="red" stroked="f"/>
              </w:pict>
            </w:r>
          </w:p>
          <w:p w:rsidR="00C436C6" w:rsidRDefault="00C436C6" w:rsidP="002D3C4B">
            <w:pPr>
              <w:jc w:val="both"/>
              <w:rPr>
                <w:b/>
                <w:color w:val="002060"/>
              </w:rPr>
            </w:pPr>
          </w:p>
          <w:p w:rsidR="00C436C6" w:rsidRDefault="00C436C6" w:rsidP="002D3C4B">
            <w:pPr>
              <w:jc w:val="both"/>
              <w:rPr>
                <w:b/>
                <w:color w:val="002060"/>
              </w:rPr>
            </w:pPr>
          </w:p>
          <w:p w:rsidR="00C436C6" w:rsidRDefault="00C436C6" w:rsidP="002D3C4B">
            <w:pPr>
              <w:jc w:val="both"/>
              <w:rPr>
                <w:b/>
                <w:color w:val="002060"/>
              </w:rPr>
            </w:pPr>
          </w:p>
        </w:tc>
        <w:tc>
          <w:tcPr>
            <w:tcW w:w="8655" w:type="dxa"/>
          </w:tcPr>
          <w:p w:rsidR="00C436C6" w:rsidRDefault="00C436C6" w:rsidP="002D3C4B">
            <w:pPr>
              <w:jc w:val="both"/>
              <w:rPr>
                <w:b/>
                <w:color w:val="002060"/>
              </w:rPr>
            </w:pPr>
            <w:r>
              <w:rPr>
                <w:b/>
                <w:color w:val="002060"/>
              </w:rPr>
              <w:t>Les centres de commandements politiques. Nationaux et internationaux. Capitales politiques des États et des OIG. La concentration des pouvoirs est un atout car c’est un gage d’attractivité.</w:t>
            </w:r>
          </w:p>
        </w:tc>
      </w:tr>
      <w:tr w:rsidR="00C436C6" w:rsidTr="002D3C4B">
        <w:tc>
          <w:tcPr>
            <w:tcW w:w="1951" w:type="dxa"/>
          </w:tcPr>
          <w:p w:rsidR="00C436C6" w:rsidRDefault="00272712" w:rsidP="00C436C6">
            <w:pPr>
              <w:jc w:val="both"/>
              <w:rPr>
                <w:b/>
                <w:color w:val="002060"/>
              </w:rPr>
            </w:pPr>
            <w:r>
              <w:rPr>
                <w:b/>
                <w:noProof/>
                <w:color w:val="002060"/>
                <w:lang w:eastAsia="fr-FR"/>
              </w:rPr>
              <w:pict>
                <v:rect id="_x0000_s1180" style="position:absolute;left:0;text-align:left;margin-left:5.6pt;margin-top:5.45pt;width:40.7pt;height:20.55pt;z-index:251812864;mso-position-horizontal-relative:text;mso-position-vertical-relative:text" fillcolor="#92d050"/>
              </w:pict>
            </w:r>
          </w:p>
          <w:p w:rsidR="00C436C6" w:rsidRDefault="00C436C6" w:rsidP="002D3C4B">
            <w:pPr>
              <w:jc w:val="both"/>
              <w:rPr>
                <w:b/>
                <w:color w:val="002060"/>
              </w:rPr>
            </w:pPr>
          </w:p>
          <w:p w:rsidR="00C436C6" w:rsidRDefault="00C436C6" w:rsidP="002D3C4B">
            <w:pPr>
              <w:jc w:val="both"/>
              <w:rPr>
                <w:b/>
                <w:color w:val="002060"/>
              </w:rPr>
            </w:pPr>
          </w:p>
        </w:tc>
        <w:tc>
          <w:tcPr>
            <w:tcW w:w="8655" w:type="dxa"/>
          </w:tcPr>
          <w:p w:rsidR="00C436C6" w:rsidRDefault="00C436C6" w:rsidP="002D3C4B">
            <w:pPr>
              <w:jc w:val="both"/>
              <w:rPr>
                <w:b/>
                <w:color w:val="002060"/>
              </w:rPr>
            </w:pPr>
            <w:r>
              <w:rPr>
                <w:b/>
                <w:color w:val="002060"/>
              </w:rPr>
              <w:t>Les espaces périphériques. Les espaces agricoles d’agriculture intensive ou extensive, créateurs de richesse quand ils sont intégrés aux IAA.</w:t>
            </w:r>
          </w:p>
          <w:p w:rsidR="00C436C6" w:rsidRDefault="00C436C6" w:rsidP="002D3C4B">
            <w:pPr>
              <w:jc w:val="both"/>
              <w:rPr>
                <w:b/>
                <w:color w:val="002060"/>
              </w:rPr>
            </w:pPr>
          </w:p>
        </w:tc>
      </w:tr>
      <w:tr w:rsidR="00C436C6" w:rsidTr="002D3C4B">
        <w:tc>
          <w:tcPr>
            <w:tcW w:w="1951" w:type="dxa"/>
          </w:tcPr>
          <w:p w:rsidR="00C436C6" w:rsidRDefault="00C436C6" w:rsidP="002D3C4B">
            <w:pPr>
              <w:jc w:val="both"/>
              <w:rPr>
                <w:b/>
                <w:color w:val="002060"/>
              </w:rPr>
            </w:pPr>
          </w:p>
          <w:p w:rsidR="00C436C6" w:rsidRDefault="00272712" w:rsidP="002D3C4B">
            <w:pPr>
              <w:jc w:val="both"/>
              <w:rPr>
                <w:b/>
                <w:color w:val="002060"/>
              </w:rPr>
            </w:pPr>
            <w:r>
              <w:rPr>
                <w:b/>
                <w:noProof/>
                <w:color w:val="002060"/>
                <w:lang w:eastAsia="fr-FR"/>
              </w:rPr>
              <w:pict>
                <v:shapetype id="_x0000_t32" coordsize="21600,21600" o:spt="32" o:oned="t" path="m,l21600,21600e" filled="f">
                  <v:path arrowok="t" fillok="f" o:connecttype="none"/>
                  <o:lock v:ext="edit" shapetype="t"/>
                </v:shapetype>
                <v:shape id="_x0000_s1187" type="#_x0000_t32" style="position:absolute;left:0;text-align:left;margin-left:9.95pt;margin-top:9.6pt;width:36.75pt;height:0;z-index:251820032" o:connectortype="straight" strokecolor="#7030a0" strokeweight="3pt"/>
              </w:pict>
            </w:r>
          </w:p>
          <w:p w:rsidR="00C436C6" w:rsidRDefault="00C436C6" w:rsidP="002D3C4B">
            <w:pPr>
              <w:jc w:val="both"/>
              <w:rPr>
                <w:b/>
                <w:color w:val="002060"/>
              </w:rPr>
            </w:pPr>
          </w:p>
        </w:tc>
        <w:tc>
          <w:tcPr>
            <w:tcW w:w="8655" w:type="dxa"/>
          </w:tcPr>
          <w:p w:rsidR="00C436C6" w:rsidRDefault="00C436C6" w:rsidP="002D3C4B">
            <w:pPr>
              <w:jc w:val="both"/>
              <w:rPr>
                <w:b/>
                <w:color w:val="002060"/>
              </w:rPr>
            </w:pPr>
            <w:r>
              <w:rPr>
                <w:b/>
                <w:color w:val="002060"/>
              </w:rPr>
              <w:t>Voies de communication majeures : conjonction de voies autoroutières et ferroviaires, réseau de fibre optique, trafic aérien majeur. Ils sont l’armature matérielle des réseaux urbains et des flux de services, de personnes et capitaux et de biens.</w:t>
            </w:r>
          </w:p>
        </w:tc>
      </w:tr>
      <w:tr w:rsidR="00C436C6" w:rsidTr="002D3C4B">
        <w:tc>
          <w:tcPr>
            <w:tcW w:w="1951" w:type="dxa"/>
          </w:tcPr>
          <w:p w:rsidR="00C436C6" w:rsidRDefault="00272712" w:rsidP="002D3C4B">
            <w:pPr>
              <w:jc w:val="both"/>
              <w:rPr>
                <w:b/>
                <w:color w:val="002060"/>
              </w:rPr>
            </w:pPr>
            <w:r>
              <w:rPr>
                <w:b/>
                <w:noProof/>
                <w:color w:val="002060"/>
                <w:lang w:eastAsia="fr-FR"/>
              </w:rPr>
              <w:pict>
                <v:shape id="_x0000_s1185" type="#_x0000_t32" style="position:absolute;left:0;text-align:left;margin-left:8.7pt;margin-top:10.75pt;width:30.05pt;height:0;z-index:251817984;mso-position-horizontal-relative:text;mso-position-vertical-relative:text" o:connectortype="straight" strokecolor="#7030a0" strokeweight="3pt">
                  <v:stroke endarrow="block"/>
                </v:shape>
              </w:pict>
            </w:r>
          </w:p>
          <w:p w:rsidR="00C436C6" w:rsidRDefault="00C436C6" w:rsidP="002D3C4B">
            <w:pPr>
              <w:jc w:val="both"/>
              <w:rPr>
                <w:b/>
                <w:color w:val="002060"/>
              </w:rPr>
            </w:pPr>
          </w:p>
          <w:p w:rsidR="00C436C6" w:rsidRDefault="00272712" w:rsidP="002D3C4B">
            <w:pPr>
              <w:jc w:val="both"/>
              <w:rPr>
                <w:b/>
                <w:color w:val="002060"/>
              </w:rPr>
            </w:pPr>
            <w:r>
              <w:rPr>
                <w:b/>
                <w:noProof/>
                <w:color w:val="002060"/>
                <w:lang w:eastAsia="fr-FR"/>
              </w:rPr>
              <w:pict>
                <v:shape id="_x0000_s1186" type="#_x0000_t32" style="position:absolute;left:0;text-align:left;margin-left:8.9pt;margin-top:3.55pt;width:41.25pt;height:0;z-index:251819008" o:connectortype="straight" strokecolor="#7030a0" strokeweight="3pt">
                  <v:stroke dashstyle="1 1" endarrow="block" endcap="round"/>
                </v:shape>
              </w:pict>
            </w:r>
          </w:p>
        </w:tc>
        <w:tc>
          <w:tcPr>
            <w:tcW w:w="8655" w:type="dxa"/>
          </w:tcPr>
          <w:p w:rsidR="00C436C6" w:rsidRDefault="00C436C6" w:rsidP="002D3C4B">
            <w:pPr>
              <w:jc w:val="both"/>
              <w:rPr>
                <w:b/>
                <w:color w:val="002060"/>
              </w:rPr>
            </w:pPr>
            <w:r>
              <w:rPr>
                <w:b/>
                <w:color w:val="002060"/>
              </w:rPr>
              <w:t>Flux démographiques nationaux (Intérieurs) et internationaux. Des espaces pauvres ou en croissance vers les espaces riches, industrialisés et développés des aires urbaines et des littoraux. Entre pôles de la Triade il s’agit de migrations du travail qualifié. Des campagnes vers les zones urbaines il s’agit du travail peu qualifié.</w:t>
            </w:r>
          </w:p>
        </w:tc>
      </w:tr>
      <w:tr w:rsidR="00C436C6" w:rsidTr="002D3C4B">
        <w:tc>
          <w:tcPr>
            <w:tcW w:w="1951" w:type="dxa"/>
          </w:tcPr>
          <w:p w:rsidR="00C436C6" w:rsidRDefault="00272712" w:rsidP="002D3C4B">
            <w:pPr>
              <w:jc w:val="both"/>
              <w:rPr>
                <w:b/>
                <w:color w:val="002060"/>
              </w:rPr>
            </w:pPr>
            <w:r>
              <w:rPr>
                <w:b/>
                <w:noProof/>
                <w:color w:val="002060"/>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84" type="#_x0000_t69" style="position:absolute;left:0;text-align:left;margin-left:33.4pt;margin-top:3.45pt;width:33pt;height:20.1pt;z-index:251816960;mso-position-horizontal-relative:text;mso-position-vertical-relative:text" fillcolor="#002060" strokecolor="#002060"/>
              </w:pict>
            </w:r>
            <w:r>
              <w:rPr>
                <w:b/>
                <w:noProof/>
                <w:color w:val="002060"/>
                <w:lang w:eastAsia="fr-FR"/>
              </w:rPr>
              <w:pict>
                <v:rect id="_x0000_s1188" style="position:absolute;left:0;text-align:left;margin-left:0;margin-top:6.05pt;width:17pt;height:17.5pt;z-index:251821056;mso-position-horizontal-relative:text;mso-position-vertical-relative:text" fillcolor="#002060" strokecolor="#002060" strokeweight="4.5pt">
                  <v:stroke linestyle="thinThick"/>
                </v:rect>
              </w:pict>
            </w:r>
          </w:p>
          <w:p w:rsidR="00C436C6" w:rsidRDefault="00C436C6" w:rsidP="002D3C4B">
            <w:pPr>
              <w:jc w:val="both"/>
              <w:rPr>
                <w:b/>
                <w:color w:val="002060"/>
              </w:rPr>
            </w:pPr>
          </w:p>
          <w:p w:rsidR="00C436C6" w:rsidRDefault="00C436C6" w:rsidP="002D3C4B">
            <w:pPr>
              <w:jc w:val="both"/>
              <w:rPr>
                <w:b/>
                <w:color w:val="002060"/>
              </w:rPr>
            </w:pPr>
          </w:p>
        </w:tc>
        <w:tc>
          <w:tcPr>
            <w:tcW w:w="8655" w:type="dxa"/>
          </w:tcPr>
          <w:p w:rsidR="00C436C6" w:rsidRDefault="00C436C6" w:rsidP="002D3C4B">
            <w:pPr>
              <w:jc w:val="both"/>
              <w:rPr>
                <w:b/>
                <w:color w:val="002060"/>
              </w:rPr>
            </w:pPr>
            <w:r>
              <w:rPr>
                <w:b/>
                <w:color w:val="002060"/>
              </w:rPr>
              <w:t xml:space="preserve">Trafic maritime international liant les plus grands </w:t>
            </w:r>
            <w:r w:rsidRPr="000002F7">
              <w:rPr>
                <w:b/>
                <w:i/>
                <w:color w:val="002060"/>
              </w:rPr>
              <w:t>hubs</w:t>
            </w:r>
            <w:r>
              <w:rPr>
                <w:b/>
                <w:color w:val="002060"/>
              </w:rPr>
              <w:t xml:space="preserve"> maritimes entre eux. Les routes maritimes majeures relient les pôles de la Triade et les espaces à forte croissance.</w:t>
            </w:r>
          </w:p>
        </w:tc>
      </w:tr>
      <w:tr w:rsidR="00C436C6" w:rsidTr="002D3C4B">
        <w:tc>
          <w:tcPr>
            <w:tcW w:w="1951" w:type="dxa"/>
          </w:tcPr>
          <w:p w:rsidR="00C436C6" w:rsidRDefault="00272712" w:rsidP="002D3C4B">
            <w:pPr>
              <w:jc w:val="both"/>
              <w:rPr>
                <w:b/>
                <w:color w:val="002060"/>
              </w:rPr>
            </w:pPr>
            <w:r>
              <w:rPr>
                <w:b/>
                <w:noProof/>
                <w:color w:val="002060"/>
                <w:lang w:eastAsia="fr-FR"/>
              </w:rPr>
              <w:pict>
                <v:shape id="_x0000_s1183" type="#_x0000_t32" style="position:absolute;left:0;text-align:left;margin-left:9.8pt;margin-top:5.65pt;width:47.75pt;height:.05pt;z-index:251815936;mso-position-horizontal-relative:text;mso-position-vertical-relative:text" o:connectortype="straight" strokecolor="#002060" strokeweight="6pt">
                  <v:stroke dashstyle="1 1"/>
                </v:shape>
              </w:pict>
            </w:r>
          </w:p>
        </w:tc>
        <w:tc>
          <w:tcPr>
            <w:tcW w:w="8655" w:type="dxa"/>
          </w:tcPr>
          <w:p w:rsidR="00C436C6" w:rsidRDefault="00C436C6" w:rsidP="002D3C4B">
            <w:pPr>
              <w:jc w:val="both"/>
              <w:rPr>
                <w:b/>
                <w:color w:val="002060"/>
              </w:rPr>
            </w:pPr>
            <w:r>
              <w:rPr>
                <w:b/>
                <w:color w:val="002060"/>
              </w:rPr>
              <w:t xml:space="preserve">Zones Industrialo-portuaires majeures à influence mondiale. Concentrations de hubs maritimes et d’entreprises industrielles. </w:t>
            </w:r>
          </w:p>
        </w:tc>
      </w:tr>
    </w:tbl>
    <w:p w:rsidR="008D3A9C" w:rsidRPr="008D3A9C" w:rsidRDefault="008D3A9C" w:rsidP="00C436C6">
      <w:pPr>
        <w:jc w:val="both"/>
        <w:rPr>
          <w:rFonts w:ascii="Comic Sans MS" w:hAnsi="Comic Sans MS"/>
          <w:b/>
          <w:color w:val="FF0000"/>
          <w:sz w:val="28"/>
          <w:szCs w:val="28"/>
        </w:rPr>
      </w:pPr>
      <w:r w:rsidRPr="008D3A9C">
        <w:rPr>
          <w:rFonts w:ascii="Comic Sans MS" w:hAnsi="Comic Sans MS"/>
          <w:b/>
          <w:color w:val="FF0000"/>
          <w:sz w:val="28"/>
          <w:szCs w:val="28"/>
        </w:rPr>
        <w:t>II.</w:t>
      </w:r>
      <w:r w:rsidR="00C436C6">
        <w:rPr>
          <w:rFonts w:ascii="Comic Sans MS" w:hAnsi="Comic Sans MS"/>
          <w:b/>
          <w:color w:val="FF0000"/>
          <w:sz w:val="28"/>
          <w:szCs w:val="28"/>
        </w:rPr>
        <w:t> Des territoires haut vent qui concentrent les aléas et sont encore marginalisés, en dépit de politiques récentes de rééquilibrage.</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C436C6" w:rsidTr="002D3C4B">
        <w:tc>
          <w:tcPr>
            <w:tcW w:w="1951" w:type="dxa"/>
          </w:tcPr>
          <w:p w:rsidR="00C436C6" w:rsidRDefault="00C436C6" w:rsidP="002D3C4B">
            <w:pPr>
              <w:ind w:firstLine="708"/>
              <w:jc w:val="both"/>
              <w:rPr>
                <w:b/>
                <w:color w:val="002060"/>
              </w:rPr>
            </w:pPr>
          </w:p>
          <w:p w:rsidR="00C436C6" w:rsidRDefault="00272712" w:rsidP="00C436C6">
            <w:pPr>
              <w:jc w:val="both"/>
              <w:rPr>
                <w:b/>
                <w:color w:val="002060"/>
              </w:rPr>
            </w:pPr>
            <w:r>
              <w:rPr>
                <w:b/>
                <w:noProof/>
                <w:color w:val="002060"/>
                <w:lang w:eastAsia="fr-FR"/>
              </w:rPr>
              <w:pict>
                <v:rect id="_x0000_s1206" style="position:absolute;left:0;text-align:left;margin-left:8.9pt;margin-top:1.2pt;width:40.7pt;height:20.55pt;z-index:251837440" fillcolor="#bfbfbf [2412]"/>
              </w:pict>
            </w:r>
          </w:p>
          <w:p w:rsidR="00C436C6" w:rsidRDefault="00C436C6" w:rsidP="002D3C4B">
            <w:pPr>
              <w:jc w:val="both"/>
              <w:rPr>
                <w:b/>
                <w:color w:val="002060"/>
              </w:rPr>
            </w:pPr>
          </w:p>
          <w:p w:rsidR="00C436C6" w:rsidRDefault="00C436C6" w:rsidP="002D3C4B">
            <w:pPr>
              <w:jc w:val="both"/>
              <w:rPr>
                <w:b/>
                <w:color w:val="002060"/>
              </w:rPr>
            </w:pPr>
          </w:p>
        </w:tc>
        <w:tc>
          <w:tcPr>
            <w:tcW w:w="8655" w:type="dxa"/>
          </w:tcPr>
          <w:p w:rsidR="00C436C6" w:rsidRDefault="00C436C6" w:rsidP="002D3C4B">
            <w:pPr>
              <w:jc w:val="both"/>
              <w:rPr>
                <w:b/>
                <w:color w:val="002060"/>
              </w:rPr>
            </w:pPr>
            <w:r>
              <w:rPr>
                <w:b/>
                <w:color w:val="002060"/>
              </w:rPr>
              <w:t>Les espaces marginalisés : éloignés des centres de commandement, enclavés, territoires de conflits ou parce qu’ils abritent une agriculture peu productive. Populations sont plus pauvres et moins développées que la moyenne : PIB/hab. faible ou très faible (Moins de 1000 US$) IDH faible moins de 0,500.</w:t>
            </w:r>
          </w:p>
        </w:tc>
      </w:tr>
      <w:tr w:rsidR="00C436C6" w:rsidTr="002D3C4B">
        <w:tc>
          <w:tcPr>
            <w:tcW w:w="1951" w:type="dxa"/>
          </w:tcPr>
          <w:p w:rsidR="00C436C6" w:rsidRDefault="00272712" w:rsidP="002D3C4B">
            <w:pPr>
              <w:jc w:val="both"/>
              <w:rPr>
                <w:b/>
                <w:color w:val="002060"/>
              </w:rPr>
            </w:pPr>
            <w:r>
              <w:rPr>
                <w:b/>
                <w:noProof/>
                <w:color w:val="002060"/>
                <w:lang w:eastAsia="fr-FR"/>
              </w:rPr>
              <w:pict>
                <v:oval id="_x0000_s1223" style="position:absolute;left:0;text-align:left;margin-left:27.15pt;margin-top:20.4pt;width:7.15pt;height:7.15pt;z-index:251850752;mso-position-horizontal-relative:text;mso-position-vertical-relative:text" fillcolor="#00b0f0"/>
              </w:pict>
            </w:r>
            <w:r>
              <w:rPr>
                <w:b/>
                <w:noProof/>
                <w:color w:val="002060"/>
                <w:lang w:eastAsia="fr-FR"/>
              </w:rPr>
              <w:pict>
                <v:oval id="_x0000_s1221" style="position:absolute;left:0;text-align:left;margin-left:15.15pt;margin-top:10.5pt;width:7.15pt;height:7.15pt;z-index:251848704;mso-position-horizontal-relative:text;mso-position-vertical-relative:text" fillcolor="#00b0f0"/>
              </w:pict>
            </w:r>
            <w:r>
              <w:rPr>
                <w:b/>
                <w:noProof/>
                <w:color w:val="002060"/>
                <w:lang w:eastAsia="fr-FR"/>
              </w:rPr>
              <w:pict>
                <v:oval id="_x0000_s1224" style="position:absolute;left:0;text-align:left;margin-left:39.15pt;margin-top:10.5pt;width:7.15pt;height:7.15pt;z-index:251851776;mso-position-horizontal-relative:text;mso-position-vertical-relative:text" fillcolor="#00b0f0"/>
              </w:pict>
            </w:r>
            <w:r>
              <w:rPr>
                <w:b/>
                <w:noProof/>
                <w:color w:val="002060"/>
                <w:lang w:eastAsia="fr-FR"/>
              </w:rPr>
              <w:pict>
                <v:rect id="_x0000_s1217" style="position:absolute;left:0;text-align:left;margin-left:8.7pt;margin-top:9.1pt;width:40.7pt;height:20.55pt;z-index:251844608;mso-position-horizontal-relative:text;mso-position-vertical-relative:text" fillcolor="#bfbfbf [2412]"/>
              </w:pict>
            </w:r>
          </w:p>
          <w:p w:rsidR="00C436C6" w:rsidRDefault="00C436C6" w:rsidP="002D3C4B">
            <w:pPr>
              <w:jc w:val="both"/>
              <w:rPr>
                <w:b/>
                <w:color w:val="002060"/>
              </w:rPr>
            </w:pPr>
          </w:p>
          <w:p w:rsidR="00C436C6" w:rsidRDefault="00272712" w:rsidP="002D3C4B">
            <w:pPr>
              <w:jc w:val="both"/>
              <w:rPr>
                <w:b/>
                <w:color w:val="002060"/>
              </w:rPr>
            </w:pPr>
            <w:r>
              <w:rPr>
                <w:b/>
                <w:noProof/>
                <w:color w:val="002060"/>
                <w:lang w:eastAsia="fr-FR"/>
              </w:rPr>
              <w:pict>
                <v:oval id="_x0000_s1220" style="position:absolute;left:0;text-align:left;margin-left:13.1pt;margin-top:12.45pt;width:26.05pt;height:24.55pt;z-index:251847680" filled="f" strokecolor="#974706 [1609]" strokeweight="6pt">
                  <v:stroke dashstyle="1 1"/>
                </v:oval>
              </w:pict>
            </w:r>
          </w:p>
        </w:tc>
        <w:tc>
          <w:tcPr>
            <w:tcW w:w="8655" w:type="dxa"/>
          </w:tcPr>
          <w:p w:rsidR="00C436C6" w:rsidRDefault="0057127C" w:rsidP="002D3C4B">
            <w:pPr>
              <w:jc w:val="both"/>
              <w:rPr>
                <w:b/>
                <w:color w:val="002060"/>
              </w:rPr>
            </w:pPr>
            <w:r>
              <w:rPr>
                <w:b/>
                <w:color w:val="002060"/>
              </w:rPr>
              <w:t>Aléas cyclonique renforcé par les alizés. Une des causes de la faible densité humaine et des implantations économiques rares.</w:t>
            </w:r>
          </w:p>
        </w:tc>
      </w:tr>
      <w:tr w:rsidR="00C436C6" w:rsidTr="002D3C4B">
        <w:tc>
          <w:tcPr>
            <w:tcW w:w="1951" w:type="dxa"/>
          </w:tcPr>
          <w:p w:rsidR="00C436C6" w:rsidRDefault="00C436C6" w:rsidP="002D3C4B">
            <w:pPr>
              <w:jc w:val="both"/>
              <w:rPr>
                <w:b/>
                <w:color w:val="002060"/>
              </w:rPr>
            </w:pPr>
          </w:p>
          <w:p w:rsidR="00C436C6" w:rsidRDefault="00C436C6" w:rsidP="002D3C4B">
            <w:pPr>
              <w:jc w:val="both"/>
              <w:rPr>
                <w:b/>
                <w:color w:val="002060"/>
              </w:rPr>
            </w:pPr>
          </w:p>
          <w:p w:rsidR="00C436C6" w:rsidRDefault="00C436C6" w:rsidP="002D3C4B">
            <w:pPr>
              <w:jc w:val="both"/>
              <w:rPr>
                <w:b/>
                <w:color w:val="002060"/>
              </w:rPr>
            </w:pPr>
          </w:p>
        </w:tc>
        <w:tc>
          <w:tcPr>
            <w:tcW w:w="8655" w:type="dxa"/>
          </w:tcPr>
          <w:p w:rsidR="00C436C6" w:rsidRDefault="0057127C" w:rsidP="002D3C4B">
            <w:pPr>
              <w:jc w:val="both"/>
              <w:rPr>
                <w:b/>
                <w:color w:val="002060"/>
              </w:rPr>
            </w:pPr>
            <w:r>
              <w:rPr>
                <w:b/>
                <w:color w:val="002060"/>
              </w:rPr>
              <w:t>Aléas sismique et tellurique. Ils couvrent l’ensemble de la RUP dans les Antilles mais leur effet se surajoute aux aléas cycloniques dans les territoires haut vent.</w:t>
            </w:r>
          </w:p>
        </w:tc>
      </w:tr>
      <w:tr w:rsidR="00C436C6" w:rsidTr="002D3C4B">
        <w:tc>
          <w:tcPr>
            <w:tcW w:w="1951" w:type="dxa"/>
          </w:tcPr>
          <w:p w:rsidR="00C436C6" w:rsidRDefault="00272712" w:rsidP="002D3C4B">
            <w:pPr>
              <w:jc w:val="both"/>
              <w:rPr>
                <w:b/>
                <w:color w:val="002060"/>
              </w:rPr>
            </w:pPr>
            <w:r>
              <w:rPr>
                <w:b/>
                <w:noProof/>
                <w:color w:val="002060"/>
                <w:lang w:eastAsia="fr-FR"/>
              </w:rPr>
              <w:pict>
                <v:shape id="_x0000_s1218" type="#_x0000_t32" style="position:absolute;left:0;text-align:left;margin-left:5.6pt;margin-top:6.35pt;width:32.6pt;height:0;flip:x;z-index:251845632;mso-position-horizontal-relative:text;mso-position-vertical-relative:text" o:connectortype="straight" strokecolor="#974706 [1609]" strokeweight="6pt"/>
              </w:pict>
            </w:r>
          </w:p>
          <w:p w:rsidR="00C436C6" w:rsidRDefault="00C436C6" w:rsidP="002D3C4B">
            <w:pPr>
              <w:jc w:val="both"/>
              <w:rPr>
                <w:b/>
                <w:color w:val="002060"/>
              </w:rPr>
            </w:pPr>
          </w:p>
          <w:p w:rsidR="00C436C6" w:rsidRDefault="00757BBB" w:rsidP="002D3C4B">
            <w:pPr>
              <w:jc w:val="both"/>
              <w:rPr>
                <w:b/>
                <w:color w:val="002060"/>
              </w:rPr>
            </w:pPr>
            <w:r>
              <w:rPr>
                <w:b/>
                <w:noProof/>
                <w:color w:val="002060"/>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28" type="#_x0000_t5" style="position:absolute;left:0;text-align:left;margin-left:17.4pt;margin-top:4.6pt;width:21.75pt;height:20.35pt;z-index:251855872" fillcolor="#974706 [1609]"/>
              </w:pict>
            </w:r>
          </w:p>
        </w:tc>
        <w:tc>
          <w:tcPr>
            <w:tcW w:w="8655" w:type="dxa"/>
          </w:tcPr>
          <w:p w:rsidR="00C436C6" w:rsidRDefault="0057127C" w:rsidP="002D3C4B">
            <w:pPr>
              <w:jc w:val="both"/>
              <w:rPr>
                <w:b/>
                <w:color w:val="002060"/>
              </w:rPr>
            </w:pPr>
            <w:r>
              <w:rPr>
                <w:b/>
                <w:color w:val="002060"/>
              </w:rPr>
              <w:t>Barrière montagneuse. Elle permet d’atténuer les effets des alizés dans les territoires sous le vent, mais accroit la césure entre les territoires situés haut vent et les territoires sous le vent.</w:t>
            </w:r>
          </w:p>
        </w:tc>
      </w:tr>
      <w:tr w:rsidR="00757BBB" w:rsidTr="002D3C4B">
        <w:tc>
          <w:tcPr>
            <w:tcW w:w="1951" w:type="dxa"/>
          </w:tcPr>
          <w:p w:rsidR="00757BBB" w:rsidRDefault="00757BBB" w:rsidP="002D3C4B">
            <w:pPr>
              <w:jc w:val="both"/>
              <w:rPr>
                <w:b/>
                <w:noProof/>
                <w:color w:val="002060"/>
                <w:lang w:eastAsia="fr-FR"/>
              </w:rPr>
            </w:pPr>
            <w:r>
              <w:rPr>
                <w:b/>
                <w:noProof/>
                <w:color w:val="002060"/>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6" type="#_x0000_t13" style="position:absolute;left:0;text-align:left;margin-left:8.7pt;margin-top:11.55pt;width:63.05pt;height:36.7pt;z-index:251853824;mso-position-horizontal-relative:text;mso-position-vertical-relative:text" fillcolor="#92d050" strokecolor="#f2f2f2 [3052]"/>
              </w:pict>
            </w:r>
          </w:p>
        </w:tc>
        <w:tc>
          <w:tcPr>
            <w:tcW w:w="8655" w:type="dxa"/>
          </w:tcPr>
          <w:p w:rsidR="00757BBB" w:rsidRDefault="00757BBB" w:rsidP="002D3C4B">
            <w:pPr>
              <w:jc w:val="both"/>
              <w:rPr>
                <w:b/>
                <w:color w:val="002060"/>
              </w:rPr>
            </w:pPr>
            <w:r>
              <w:rPr>
                <w:b/>
                <w:color w:val="002060"/>
              </w:rPr>
              <w:t>Volcanisme actif, un des aléas majeurs aux Antilles.</w:t>
            </w:r>
          </w:p>
        </w:tc>
      </w:tr>
      <w:tr w:rsidR="00C436C6" w:rsidTr="002D3C4B">
        <w:tc>
          <w:tcPr>
            <w:tcW w:w="1951" w:type="dxa"/>
          </w:tcPr>
          <w:p w:rsidR="00C436C6" w:rsidRDefault="00C436C6" w:rsidP="002D3C4B">
            <w:pPr>
              <w:jc w:val="both"/>
              <w:rPr>
                <w:b/>
                <w:color w:val="002060"/>
              </w:rPr>
            </w:pPr>
          </w:p>
        </w:tc>
        <w:tc>
          <w:tcPr>
            <w:tcW w:w="8655" w:type="dxa"/>
          </w:tcPr>
          <w:p w:rsidR="00C436C6" w:rsidRDefault="0057127C" w:rsidP="002D3C4B">
            <w:pPr>
              <w:jc w:val="both"/>
              <w:rPr>
                <w:b/>
                <w:color w:val="002060"/>
              </w:rPr>
            </w:pPr>
            <w:r>
              <w:rPr>
                <w:b/>
                <w:color w:val="002060"/>
              </w:rPr>
              <w:t>Politiques récentes de rééquilibrage territoriale en faveur des territoires situés haut vent, politique assise essentiellement sur des implantations touristiques de loisirs balnéaires.</w:t>
            </w:r>
          </w:p>
          <w:p w:rsidR="0057127C" w:rsidRDefault="0057127C" w:rsidP="002D3C4B">
            <w:pPr>
              <w:jc w:val="both"/>
              <w:rPr>
                <w:b/>
                <w:color w:val="002060"/>
              </w:rPr>
            </w:pPr>
          </w:p>
        </w:tc>
      </w:tr>
      <w:tr w:rsidR="00C436C6" w:rsidTr="002D3C4B">
        <w:tc>
          <w:tcPr>
            <w:tcW w:w="1951" w:type="dxa"/>
          </w:tcPr>
          <w:p w:rsidR="00C436C6" w:rsidRDefault="00272712" w:rsidP="002D3C4B">
            <w:pPr>
              <w:jc w:val="both"/>
              <w:rPr>
                <w:b/>
                <w:color w:val="002060"/>
              </w:rPr>
            </w:pPr>
            <w:r>
              <w:rPr>
                <w:b/>
                <w:noProof/>
                <w:color w:val="002060"/>
                <w:lang w:eastAsia="fr-FR"/>
              </w:rPr>
              <w:pict>
                <v:rect id="_x0000_s1227" style="position:absolute;left:0;text-align:left;margin-left:16.4pt;margin-top:1.3pt;width:17pt;height:17.5pt;z-index:251854848;mso-position-horizontal-relative:text;mso-position-vertical-relative:text" fillcolor="#00b0f0" strokecolor="#0070c0" strokeweight="4.5pt">
                  <v:stroke linestyle="thinThick"/>
                </v:rect>
              </w:pict>
            </w:r>
          </w:p>
          <w:p w:rsidR="00C436C6" w:rsidRDefault="00C436C6" w:rsidP="002D3C4B">
            <w:pPr>
              <w:jc w:val="both"/>
              <w:rPr>
                <w:b/>
                <w:color w:val="002060"/>
              </w:rPr>
            </w:pPr>
          </w:p>
          <w:p w:rsidR="00C436C6" w:rsidRDefault="00C436C6" w:rsidP="002D3C4B">
            <w:pPr>
              <w:jc w:val="both"/>
              <w:rPr>
                <w:b/>
                <w:color w:val="002060"/>
              </w:rPr>
            </w:pPr>
          </w:p>
        </w:tc>
        <w:tc>
          <w:tcPr>
            <w:tcW w:w="8655" w:type="dxa"/>
          </w:tcPr>
          <w:p w:rsidR="00C436C6" w:rsidRDefault="0057127C" w:rsidP="002D3C4B">
            <w:pPr>
              <w:jc w:val="both"/>
              <w:rPr>
                <w:b/>
                <w:color w:val="002060"/>
              </w:rPr>
            </w:pPr>
            <w:r>
              <w:rPr>
                <w:b/>
                <w:color w:val="002060"/>
              </w:rPr>
              <w:t>Infrastructures récentes de tourisme balnéaire, notamment les sports nautiques nécessitant de forts vents. </w:t>
            </w:r>
          </w:p>
        </w:tc>
      </w:tr>
    </w:tbl>
    <w:p w:rsidR="000232AE" w:rsidRDefault="000232AE"/>
    <w:sectPr w:rsidR="000232AE" w:rsidSect="000232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12D5"/>
    <w:multiLevelType w:val="hybridMultilevel"/>
    <w:tmpl w:val="DDD24784"/>
    <w:lvl w:ilvl="0" w:tplc="84EA74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DD37C1"/>
    <w:multiLevelType w:val="hybridMultilevel"/>
    <w:tmpl w:val="DEF609F4"/>
    <w:lvl w:ilvl="0" w:tplc="382C4B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0232AE"/>
    <w:rsid w:val="000232AE"/>
    <w:rsid w:val="00074A83"/>
    <w:rsid w:val="00174ACA"/>
    <w:rsid w:val="00262FFE"/>
    <w:rsid w:val="00272712"/>
    <w:rsid w:val="002A4444"/>
    <w:rsid w:val="002A63D0"/>
    <w:rsid w:val="00332520"/>
    <w:rsid w:val="003C3DBB"/>
    <w:rsid w:val="0057127C"/>
    <w:rsid w:val="00686393"/>
    <w:rsid w:val="00757BBB"/>
    <w:rsid w:val="007B6C04"/>
    <w:rsid w:val="008D3A9C"/>
    <w:rsid w:val="00900319"/>
    <w:rsid w:val="00914381"/>
    <w:rsid w:val="00AD51D3"/>
    <w:rsid w:val="00BC3EF8"/>
    <w:rsid w:val="00C336F6"/>
    <w:rsid w:val="00C436C6"/>
    <w:rsid w:val="00F16874"/>
    <w:rsid w:val="00F57A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00b0f0" strokecolor="none [1609]"/>
    </o:shapedefaults>
    <o:shapelayout v:ext="edit">
      <o:idmap v:ext="edit" data="1"/>
      <o:rules v:ext="edit">
        <o:r id="V:Rule6" type="connector" idref="#_x0000_s1187"/>
        <o:r id="V:Rule7" type="connector" idref="#_x0000_s1218"/>
        <o:r id="V:Rule8" type="connector" idref="#_x0000_s1183"/>
        <o:r id="V:Rule9" type="connector" idref="#_x0000_s1186"/>
        <o:r id="V:Rule10" type="connector" idref="#_x0000_s118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3A9C"/>
    <w:pPr>
      <w:ind w:left="720"/>
      <w:contextualSpacing/>
    </w:pPr>
  </w:style>
  <w:style w:type="table" w:styleId="Grilledutableau">
    <w:name w:val="Table Grid"/>
    <w:basedOn w:val="TableauNormal"/>
    <w:uiPriority w:val="59"/>
    <w:rsid w:val="00C436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471</Words>
  <Characters>2592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dc:creator>
  <cp:lastModifiedBy>Erwan</cp:lastModifiedBy>
  <cp:revision>9</cp:revision>
  <dcterms:created xsi:type="dcterms:W3CDTF">2015-05-25T11:31:00Z</dcterms:created>
  <dcterms:modified xsi:type="dcterms:W3CDTF">2015-05-29T12:10:00Z</dcterms:modified>
</cp:coreProperties>
</file>