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F2" w:rsidRPr="00835F37" w:rsidRDefault="00380BF2">
      <w:pPr>
        <w:rPr>
          <w:b/>
          <w:color w:val="002060"/>
        </w:rPr>
      </w:pPr>
      <w:r w:rsidRPr="00835F37">
        <w:rPr>
          <w:b/>
          <w:color w:val="002060"/>
        </w:rPr>
        <w:t>Légende : </w:t>
      </w:r>
    </w:p>
    <w:p w:rsidR="00380BF2" w:rsidRPr="00380BF2" w:rsidRDefault="00073972">
      <w:pPr>
        <w:rPr>
          <w:b/>
          <w:color w:val="FF0000"/>
        </w:rPr>
      </w:pPr>
      <w:r w:rsidRPr="00073972">
        <w:rPr>
          <w:noProof/>
          <w:lang w:eastAsia="fr-FR"/>
        </w:rPr>
        <w:pict>
          <v:shapetype id="_x0000_t202" coordsize="21600,21600" o:spt="202" path="m,l,21600r21600,l21600,xe">
            <v:stroke joinstyle="miter"/>
            <v:path gradientshapeok="t" o:connecttype="rect"/>
          </v:shapetype>
          <v:shape id="_x0000_s1320" type="#_x0000_t202" style="position:absolute;margin-left:109.2pt;margin-top:6.85pt;width:643.05pt;height:60pt;z-index:252025856" o:regroupid="4" filled="f" stroked="f">
            <v:textbox>
              <w:txbxContent>
                <w:p w:rsidR="009B30FE" w:rsidRPr="009B30FE" w:rsidRDefault="009B30FE" w:rsidP="009B30FE">
                  <w:pPr>
                    <w:pStyle w:val="Sansinterligne"/>
                    <w:jc w:val="both"/>
                    <w:rPr>
                      <w:color w:val="002060"/>
                      <w:sz w:val="20"/>
                      <w:szCs w:val="20"/>
                    </w:rPr>
                  </w:pPr>
                  <w:r w:rsidRPr="00EE6B7C">
                    <w:rPr>
                      <w:b/>
                      <w:color w:val="002060"/>
                      <w:sz w:val="20"/>
                      <w:szCs w:val="20"/>
                    </w:rPr>
                    <w:t>Les principales métropoles des États-Unis</w:t>
                  </w:r>
                  <w:r w:rsidRPr="009B30FE">
                    <w:rPr>
                      <w:color w:val="002060"/>
                      <w:sz w:val="20"/>
                      <w:szCs w:val="20"/>
                    </w:rPr>
                    <w:t> : elles concentrent les fonctions du tertiaire supérieur et du quaternaire (tertiaire rare), les populations plus diplômées que la moyenne nationales</w:t>
                  </w:r>
                  <w:r>
                    <w:rPr>
                      <w:color w:val="002060"/>
                      <w:sz w:val="20"/>
                      <w:szCs w:val="20"/>
                    </w:rPr>
                    <w:t xml:space="preserve"> ont un PIB/hab. plus faible que la moyenne étant donné les forts écarts de salaires entre une élite diplômée et fortunée et des employés et ouvriers sans qualification. </w:t>
                  </w:r>
                  <w:r w:rsidR="008079D8">
                    <w:rPr>
                      <w:color w:val="002060"/>
                      <w:sz w:val="20"/>
                      <w:szCs w:val="20"/>
                    </w:rPr>
                    <w:t>Nœuds des réseaux, elles rayonnent aux échelles mondiales (NY, Chicago, Los Angeles) et continentales. </w:t>
                  </w:r>
                  <w:r w:rsidR="00735229">
                    <w:rPr>
                      <w:color w:val="002060"/>
                      <w:sz w:val="20"/>
                      <w:szCs w:val="20"/>
                    </w:rPr>
                    <w:t>À noter les villes canadiennes et mexicaines dans l’orbite étatsunienne</w:t>
                  </w:r>
                  <w:r w:rsidR="0059261C">
                    <w:rPr>
                      <w:color w:val="002060"/>
                      <w:sz w:val="20"/>
                      <w:szCs w:val="20"/>
                    </w:rPr>
                    <w:tab/>
                  </w:r>
                  <w:r w:rsidR="00735229">
                    <w:rPr>
                      <w:color w:val="002060"/>
                      <w:sz w:val="20"/>
                      <w:szCs w:val="20"/>
                    </w:rPr>
                    <w:tab/>
                    <w:t xml:space="preserve">et Détroit, </w:t>
                  </w:r>
                  <w:r w:rsidR="00735229">
                    <w:rPr>
                      <w:color w:val="002060"/>
                      <w:sz w:val="20"/>
                      <w:szCs w:val="20"/>
                    </w:rPr>
                    <w:tab/>
                    <w:t>la ville qui rétrécit.</w:t>
                  </w:r>
                </w:p>
              </w:txbxContent>
            </v:textbox>
          </v:shape>
        </w:pict>
      </w:r>
      <w:r w:rsidRPr="00073972">
        <w:rPr>
          <w:noProof/>
          <w:lang w:eastAsia="fr-FR"/>
        </w:rPr>
        <w:pict>
          <v:shape id="_x0000_s1318" type="#_x0000_t202" style="position:absolute;margin-left:48.45pt;margin-top:19.6pt;width:69pt;height:18.75pt;z-index:252023808" o:regroupid="4" filled="f" stroked="f">
            <v:textbox>
              <w:txbxContent>
                <w:p w:rsidR="00E53560" w:rsidRPr="00E53560" w:rsidRDefault="00E53560" w:rsidP="00E53560">
                  <w:pPr>
                    <w:rPr>
                      <w:sz w:val="16"/>
                      <w:szCs w:val="16"/>
                    </w:rPr>
                  </w:pPr>
                  <w:r>
                    <w:rPr>
                      <w:sz w:val="16"/>
                      <w:szCs w:val="16"/>
                    </w:rPr>
                    <w:t>5 millions et +</w:t>
                  </w:r>
                </w:p>
              </w:txbxContent>
            </v:textbox>
          </v:shape>
        </w:pict>
      </w:r>
      <w:r w:rsidRPr="00073972">
        <w:rPr>
          <w:noProof/>
          <w:lang w:eastAsia="fr-FR"/>
        </w:rPr>
        <w:pict>
          <v:shape id="_x0000_s1314" type="#_x0000_t202" style="position:absolute;margin-left:49.2pt;margin-top:6.85pt;width:69pt;height:18.75pt;z-index:252022784" o:regroupid="4" filled="f" stroked="f">
            <v:textbox>
              <w:txbxContent>
                <w:p w:rsidR="00E53560" w:rsidRPr="00E53560" w:rsidRDefault="00E53560">
                  <w:pPr>
                    <w:rPr>
                      <w:sz w:val="16"/>
                      <w:szCs w:val="16"/>
                    </w:rPr>
                  </w:pPr>
                  <w:r>
                    <w:rPr>
                      <w:sz w:val="16"/>
                      <w:szCs w:val="16"/>
                    </w:rPr>
                    <w:t>10 millions et +</w:t>
                  </w:r>
                </w:p>
              </w:txbxContent>
            </v:textbox>
          </v:shape>
        </w:pict>
      </w:r>
      <w:r w:rsidRPr="00073972">
        <w:rPr>
          <w:noProof/>
          <w:lang w:eastAsia="fr-FR"/>
        </w:rPr>
        <w:pict>
          <v:rect id="_x0000_s1313" style="position:absolute;margin-left:49.2pt;margin-top:9.1pt;width:50.25pt;height:41.25pt;z-index:251631591" o:regroupid="4" stroked="f"/>
        </w:pict>
      </w:r>
      <w:r w:rsidRPr="00073972">
        <w:rPr>
          <w:noProof/>
          <w:lang w:eastAsia="fr-FR"/>
        </w:rPr>
        <w:pict>
          <v:rect id="_x0000_s1312" style="position:absolute;margin-left:18pt;margin-top:11.3pt;width:48.45pt;height:41.25pt;z-index:251975680" stroked="f"/>
        </w:pict>
      </w:r>
      <w:r>
        <w:rPr>
          <w:b/>
          <w:noProof/>
          <w:color w:val="FF0000"/>
          <w:lang w:eastAsia="fr-FR"/>
        </w:rPr>
        <w:pict>
          <v:shapetype id="_x0000_t32" coordsize="21600,21600" o:spt="32" o:oned="t" path="m,l21600,21600e" filled="f">
            <v:path arrowok="t" fillok="f" o:connecttype="none"/>
            <o:lock v:ext="edit" shapetype="t"/>
          </v:shapetype>
          <v:shape id="_x0000_s1315" type="#_x0000_t32" style="position:absolute;margin-left:18pt;margin-top:16.55pt;width:34.5pt;height:0;z-index:252018688" o:connectortype="straight" strokeweight="1pt">
            <v:stroke dashstyle="1 1" endcap="round"/>
          </v:shape>
        </w:pict>
      </w:r>
      <w:r w:rsidRPr="00073972">
        <w:rPr>
          <w:noProof/>
          <w:lang w:eastAsia="fr-FR"/>
        </w:rPr>
        <w:pict>
          <v:oval id="_x0000_s1311" style="position:absolute;margin-left:.75pt;margin-top:16.55pt;width:33.75pt;height:33.75pt;z-index:251974656" fillcolor="#7030a0" strokecolor="#606" strokeweight="4.5pt">
            <v:stroke linestyle="thinThick"/>
          </v:oval>
        </w:pict>
      </w:r>
      <w:r w:rsidRPr="00073972">
        <w:rPr>
          <w:noProof/>
          <w:lang w:eastAsia="fr-FR"/>
        </w:rPr>
        <w:pict>
          <v:oval id="_x0000_s1310" style="position:absolute;margin-left:18pt;margin-top:30.8pt;width:21.75pt;height:21.75pt;z-index:251976704" fillcolor="#7030a0" strokecolor="#606" strokeweight="2.25pt"/>
        </w:pict>
      </w:r>
      <w:r w:rsidR="00380BF2" w:rsidRPr="00380BF2">
        <w:rPr>
          <w:b/>
          <w:color w:val="FF0000"/>
        </w:rPr>
        <w:t>I. </w:t>
      </w:r>
      <w:r w:rsidR="00835F37">
        <w:rPr>
          <w:b/>
          <w:color w:val="FF0000"/>
        </w:rPr>
        <w:t>L</w:t>
      </w:r>
      <w:r w:rsidR="006B3F6C">
        <w:rPr>
          <w:b/>
          <w:color w:val="FF0000"/>
        </w:rPr>
        <w:t>ES AIRES MÉTROPOLITAINES EN RÉSEAUX</w:t>
      </w:r>
      <w:r w:rsidR="00127F53">
        <w:rPr>
          <w:b/>
          <w:color w:val="FF0000"/>
        </w:rPr>
        <w:t xml:space="preserve">, TERRITOIRES LES PLUS DYNAMIQUES, </w:t>
      </w:r>
      <w:r w:rsidR="00835F37">
        <w:rPr>
          <w:b/>
          <w:color w:val="FF0000"/>
        </w:rPr>
        <w:t>POLARISENT L’ESPACE</w:t>
      </w:r>
      <w:r w:rsidR="006B3F6C">
        <w:rPr>
          <w:b/>
          <w:color w:val="FF0000"/>
        </w:rPr>
        <w:t>. </w:t>
      </w:r>
    </w:p>
    <w:p w:rsidR="00380BF2" w:rsidRDefault="00073972">
      <w:r>
        <w:rPr>
          <w:noProof/>
          <w:lang w:eastAsia="fr-FR"/>
        </w:rPr>
        <w:pict>
          <v:oval id="_x0000_s1351" style="position:absolute;margin-left:552.85pt;margin-top:21.75pt;width:15.15pt;height:15.15pt;z-index:252030976" fillcolor="yellow" strokecolor="#606" strokeweight="2.25pt"/>
        </w:pict>
      </w:r>
      <w:r>
        <w:rPr>
          <w:noProof/>
          <w:lang w:eastAsia="fr-FR"/>
        </w:rPr>
        <w:pict>
          <v:oval id="_x0000_s1350" style="position:absolute;margin-left:475.25pt;margin-top:24.75pt;width:12pt;height:12pt;z-index:252029952" fillcolor="white [3212]" strokecolor="#606" strokeweight="2.25pt"/>
        </w:pict>
      </w:r>
      <w:r>
        <w:rPr>
          <w:noProof/>
          <w:lang w:eastAsia="fr-FR"/>
        </w:rPr>
        <w:pict>
          <v:shape id="_x0000_s1319" type="#_x0000_t202" style="position:absolute;margin-left:46.95pt;margin-top:4.65pt;width:69pt;height:18.75pt;z-index:252024832" o:regroupid="4" filled="f" stroked="f">
            <v:textbox>
              <w:txbxContent>
                <w:p w:rsidR="00E53560" w:rsidRPr="00E53560" w:rsidRDefault="00E53560" w:rsidP="00E53560">
                  <w:pPr>
                    <w:rPr>
                      <w:sz w:val="16"/>
                      <w:szCs w:val="16"/>
                    </w:rPr>
                  </w:pPr>
                  <w:r>
                    <w:rPr>
                      <w:sz w:val="16"/>
                      <w:szCs w:val="16"/>
                    </w:rPr>
                    <w:t>2 millions et +</w:t>
                  </w:r>
                </w:p>
              </w:txbxContent>
            </v:textbox>
          </v:shape>
        </w:pict>
      </w:r>
      <w:r>
        <w:rPr>
          <w:noProof/>
          <w:lang w:eastAsia="fr-FR"/>
        </w:rPr>
        <w:pict>
          <v:oval id="_x0000_s1309" style="position:absolute;margin-left:41.25pt;margin-top:15.1pt;width:12pt;height:12pt;z-index:251978752" fillcolor="#7030a0"/>
        </w:pict>
      </w:r>
      <w:r>
        <w:rPr>
          <w:noProof/>
          <w:lang w:eastAsia="fr-FR"/>
        </w:rPr>
        <w:pict>
          <v:shape id="_x0000_s1317" type="#_x0000_t32" style="position:absolute;margin-left:42pt;margin-top:15.1pt;width:10.5pt;height:0;z-index:252020736" o:connectortype="straight" strokeweight="1pt">
            <v:stroke dashstyle="1 1" endcap="round"/>
          </v:shape>
        </w:pict>
      </w:r>
      <w:r>
        <w:rPr>
          <w:noProof/>
          <w:lang w:eastAsia="fr-FR"/>
        </w:rPr>
        <w:pict>
          <v:shape id="_x0000_s1316" type="#_x0000_t32" style="position:absolute;margin-left:26.25pt;margin-top:4.6pt;width:26.25pt;height:0;z-index:252019712" o:connectortype="straight" strokeweight="1pt">
            <v:stroke dashstyle="1 1" endcap="round"/>
          </v:shape>
        </w:pict>
      </w:r>
    </w:p>
    <w:p w:rsidR="00127F53" w:rsidRDefault="00073972">
      <w:r>
        <w:rPr>
          <w:noProof/>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25" type="#_x0000_t5" style="position:absolute;margin-left:628.25pt;margin-top:31.2pt;width:16.5pt;height:16.2pt;z-index:252015616" o:regroupid="3" fillcolor="red" strokecolor="#f2f2f2 [3052]"/>
        </w:pict>
      </w:r>
      <w:r>
        <w:rPr>
          <w:noProof/>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324" type="#_x0000_t12" style="position:absolute;margin-left:614.4pt;margin-top:18.95pt;width:18pt;height:17.1pt;z-index:252014592" o:regroupid="3" fillcolor="red" strokecolor="#f2f2f2 [3052]"/>
        </w:pict>
      </w:r>
      <w:r>
        <w:rPr>
          <w:noProof/>
          <w:lang w:eastAsia="fr-FR"/>
        </w:rPr>
        <w:pict>
          <v:shape id="_x0000_s1322" type="#_x0000_t202" style="position:absolute;margin-left:108.75pt;margin-top:6.15pt;width:649.2pt;height:71.25pt;z-index:252013568" o:regroupid="3" filled="f" stroked="f">
            <v:textbox style="mso-next-textbox:#_x0000_s1322">
              <w:txbxContent>
                <w:p w:rsidR="008079D8" w:rsidRPr="009B30FE" w:rsidRDefault="008079D8" w:rsidP="008079D8">
                  <w:pPr>
                    <w:pStyle w:val="Sansinterligne"/>
                    <w:jc w:val="both"/>
                    <w:rPr>
                      <w:color w:val="002060"/>
                      <w:sz w:val="20"/>
                      <w:szCs w:val="20"/>
                    </w:rPr>
                  </w:pPr>
                  <w:r w:rsidRPr="00EE6B7C">
                    <w:rPr>
                      <w:b/>
                      <w:color w:val="002060"/>
                      <w:sz w:val="20"/>
                      <w:szCs w:val="20"/>
                    </w:rPr>
                    <w:t>La mégalopolis</w:t>
                  </w:r>
                  <w:r>
                    <w:rPr>
                      <w:color w:val="002060"/>
                      <w:sz w:val="20"/>
                      <w:szCs w:val="20"/>
                    </w:rPr>
                    <w:t xml:space="preserve">. Cœur de la Triade, épicentre de la mondialisation financière et scientifique, centre du pôle américain de la Triade, la mégalopolis s’étend de Boston à Washington sur plus de 800 kilomètres. Concentrant les fonctions politiques et économiques internationales </w:t>
                  </w:r>
                  <w:r w:rsidR="00F62384">
                    <w:rPr>
                      <w:color w:val="002060"/>
                      <w:sz w:val="20"/>
                      <w:szCs w:val="20"/>
                    </w:rPr>
                    <w:tab/>
                  </w:r>
                  <w:r w:rsidR="00F62384">
                    <w:rPr>
                      <w:color w:val="002060"/>
                      <w:sz w:val="20"/>
                      <w:szCs w:val="20"/>
                    </w:rPr>
                    <w:tab/>
                  </w:r>
                  <w:r>
                    <w:rPr>
                      <w:color w:val="002060"/>
                      <w:sz w:val="20"/>
                      <w:szCs w:val="20"/>
                    </w:rPr>
                    <w:t xml:space="preserve">(ONU à NY, FMI, World Bank group à Washington DC) et nationales (Capitole, Maison Blanche et Pentagone à Washington DC) mais </w:t>
                  </w:r>
                  <w:r w:rsidR="00F62384">
                    <w:rPr>
                      <w:color w:val="002060"/>
                      <w:sz w:val="20"/>
                      <w:szCs w:val="20"/>
                    </w:rPr>
                    <w:t xml:space="preserve">aussi </w:t>
                  </w:r>
                  <w:r>
                    <w:rPr>
                      <w:color w:val="002060"/>
                      <w:sz w:val="20"/>
                      <w:szCs w:val="20"/>
                    </w:rPr>
                    <w:t xml:space="preserve">financière </w:t>
                  </w:r>
                  <w:r w:rsidR="00F62384">
                    <w:rPr>
                      <w:color w:val="002060"/>
                      <w:sz w:val="20"/>
                      <w:szCs w:val="20"/>
                    </w:rPr>
                    <w:tab/>
                  </w:r>
                  <w:r>
                    <w:rPr>
                      <w:color w:val="002060"/>
                      <w:sz w:val="20"/>
                      <w:szCs w:val="20"/>
                    </w:rPr>
                    <w:t xml:space="preserve">(Wall Street) et intellectuelles </w:t>
                  </w:r>
                  <w:r w:rsidR="003C31B9">
                    <w:rPr>
                      <w:color w:val="002060"/>
                      <w:sz w:val="20"/>
                      <w:szCs w:val="20"/>
                    </w:rPr>
                    <w:tab/>
                  </w:r>
                  <w:r w:rsidR="003C31B9">
                    <w:rPr>
                      <w:color w:val="002060"/>
                      <w:sz w:val="20"/>
                      <w:szCs w:val="20"/>
                    </w:rPr>
                    <w:tab/>
                  </w:r>
                  <w:r>
                    <w:rPr>
                      <w:color w:val="002060"/>
                      <w:sz w:val="20"/>
                      <w:szCs w:val="20"/>
                    </w:rPr>
                    <w:t>(Harvard, MIT, Yale, Columbia, Georgetown…)</w:t>
                  </w:r>
                  <w:r w:rsidR="003C31B9">
                    <w:rPr>
                      <w:color w:val="002060"/>
                      <w:sz w:val="20"/>
                      <w:szCs w:val="20"/>
                    </w:rPr>
                    <w:t xml:space="preserve"> ou culturelles (B</w:t>
                  </w:r>
                  <w:r>
                    <w:rPr>
                      <w:color w:val="002060"/>
                      <w:sz w:val="20"/>
                      <w:szCs w:val="20"/>
                    </w:rPr>
                    <w:t>roadway), elle a renforcé son poids ses vingt dernières années. </w:t>
                  </w:r>
                </w:p>
              </w:txbxContent>
            </v:textbox>
          </v:shape>
        </w:pict>
      </w:r>
      <w:r>
        <w:rPr>
          <w:noProof/>
          <w:lang w:eastAsia="fr-FR"/>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326" type="#_x0000_t56" style="position:absolute;margin-left:191.75pt;margin-top:46.65pt;width:16.75pt;height:15pt;z-index:252016640" o:regroupid="3" fillcolor="red" strokecolor="#f2f2f2 [3052]"/>
        </w:pict>
      </w:r>
    </w:p>
    <w:p w:rsidR="00127F53" w:rsidRDefault="00073972">
      <w:r>
        <w:rPr>
          <w:noProof/>
          <w:lang w:eastAsia="fr-FR"/>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21" type="#_x0000_t19" style="position:absolute;margin-left:4.1pt;margin-top:3.05pt;width:48.3pt;height:19pt;rotation:-11641591fd;flip:x;z-index:252011520" coordsize="43200,37846" o:regroupid="2" adj="-2852779,-8599972,21600,16246" path="wr,-5354,43200,37846,37260,1369,7365,nfewr,-5354,43200,37846,37260,1369,7365,l21600,16246nsxe" strokecolor="#c00000" strokeweight="6pt">
            <v:path o:connectlocs="37260,1369;7365,0;21600,16246"/>
          </v:shape>
        </w:pict>
      </w:r>
    </w:p>
    <w:p w:rsidR="00127F53" w:rsidRDefault="00073972">
      <w:r w:rsidRPr="00073972">
        <w:rPr>
          <w:b/>
          <w:noProof/>
          <w:color w:val="FF0000"/>
          <w:lang w:eastAsia="fr-FR"/>
        </w:rPr>
        <w:pict>
          <v:rect id="_x0000_s1332" style="position:absolute;margin-left:.65pt;margin-top:19.8pt;width:51.75pt;height:18.75pt;z-index:251998208" fillcolor="red" stroked="f"/>
        </w:pict>
      </w:r>
      <w:r>
        <w:rPr>
          <w:noProof/>
          <w:lang w:eastAsia="fr-FR"/>
        </w:rPr>
        <w:pict>
          <v:shape id="_x0000_s1340" type="#_x0000_t202" style="position:absolute;margin-left:108pt;margin-top:8.55pt;width:649.95pt;height:34.5pt;z-index:252003328" filled="f" stroked="f">
            <v:textbox>
              <w:txbxContent>
                <w:p w:rsidR="009014F8" w:rsidRPr="009014F8" w:rsidRDefault="009014F8" w:rsidP="00B5389A">
                  <w:pPr>
                    <w:pStyle w:val="Sansinterligne"/>
                    <w:jc w:val="both"/>
                    <w:rPr>
                      <w:color w:val="002060"/>
                      <w:sz w:val="20"/>
                      <w:szCs w:val="20"/>
                    </w:rPr>
                  </w:pPr>
                  <w:r w:rsidRPr="00EE6B7C">
                    <w:rPr>
                      <w:b/>
                      <w:color w:val="002060"/>
                      <w:sz w:val="20"/>
                      <w:szCs w:val="20"/>
                    </w:rPr>
                    <w:t>Les territoires</w:t>
                  </w:r>
                  <w:r w:rsidR="00EE6B7C" w:rsidRPr="00EE6B7C">
                    <w:rPr>
                      <w:b/>
                      <w:color w:val="002060"/>
                      <w:sz w:val="20"/>
                      <w:szCs w:val="20"/>
                    </w:rPr>
                    <w:t xml:space="preserve"> les plus attractif</w:t>
                  </w:r>
                  <w:r w:rsidRPr="00EE6B7C">
                    <w:rPr>
                      <w:b/>
                      <w:color w:val="002060"/>
                      <w:sz w:val="20"/>
                      <w:szCs w:val="20"/>
                    </w:rPr>
                    <w:t>s</w:t>
                  </w:r>
                  <w:r w:rsidRPr="009014F8">
                    <w:rPr>
                      <w:color w:val="002060"/>
                      <w:sz w:val="20"/>
                      <w:szCs w:val="20"/>
                    </w:rPr>
                    <w:t xml:space="preserve"> sont encore situés entre la mégalopolis et les Grands Lacs, dans le cœur historique du peuplement. Si le chômage est élevé</w:t>
                  </w:r>
                  <w:r>
                    <w:rPr>
                      <w:color w:val="002060"/>
                      <w:sz w:val="20"/>
                      <w:szCs w:val="20"/>
                    </w:rPr>
                    <w:t xml:space="preserve"> et les écarts de salaires impor</w:t>
                  </w:r>
                  <w:r w:rsidR="00B5389A">
                    <w:rPr>
                      <w:color w:val="002060"/>
                      <w:sz w:val="20"/>
                      <w:szCs w:val="20"/>
                    </w:rPr>
                    <w:t>tants, la densité et la</w:t>
                  </w:r>
                  <w:r>
                    <w:rPr>
                      <w:color w:val="002060"/>
                      <w:sz w:val="20"/>
                      <w:szCs w:val="20"/>
                    </w:rPr>
                    <w:t xml:space="preserve"> diversité des populations en font </w:t>
                  </w:r>
                  <w:r w:rsidR="00B5389A">
                    <w:rPr>
                      <w:color w:val="002060"/>
                      <w:sz w:val="20"/>
                      <w:szCs w:val="20"/>
                    </w:rPr>
                    <w:t>le cœur économique et scientifique du pays. </w:t>
                  </w:r>
                </w:p>
              </w:txbxContent>
            </v:textbox>
          </v:shape>
        </w:pict>
      </w:r>
    </w:p>
    <w:p w:rsidR="00127F53" w:rsidRDefault="00073972">
      <w:r>
        <w:rPr>
          <w:noProof/>
          <w:lang w:eastAsia="fr-FR"/>
        </w:rPr>
        <w:pict>
          <v:shape id="_x0000_s1331" type="#_x0000_t202" style="position:absolute;margin-left:108pt;margin-top:9.35pt;width:649.95pt;height:44.25pt;z-index:252028928" o:regroupid="5" filled="f" stroked="f">
            <v:textbox>
              <w:txbxContent>
                <w:p w:rsidR="009014F8" w:rsidRPr="009B30FE" w:rsidRDefault="009014F8" w:rsidP="009014F8">
                  <w:pPr>
                    <w:pStyle w:val="Sansinterligne"/>
                    <w:jc w:val="both"/>
                    <w:rPr>
                      <w:color w:val="002060"/>
                      <w:sz w:val="20"/>
                      <w:szCs w:val="20"/>
                    </w:rPr>
                  </w:pPr>
                  <w:r w:rsidRPr="009B30FE">
                    <w:rPr>
                      <w:color w:val="002060"/>
                      <w:sz w:val="20"/>
                      <w:szCs w:val="20"/>
                    </w:rPr>
                    <w:t xml:space="preserve">Les principales </w:t>
                  </w:r>
                  <w:r>
                    <w:rPr>
                      <w:color w:val="002060"/>
                      <w:sz w:val="20"/>
                      <w:szCs w:val="20"/>
                    </w:rPr>
                    <w:t>infrastructures de transports matériels et immatériels : les ponts intermodaux transcontinentaux voient se superposés les voies autoroutières, ferroviaires et aériennes pour interconnecter les pôles majeurs des deux façades via les grandes métropolitaines qui servent de hubs à toutes les échelles comme Chicago et Atlanta. Les ensembles d’aéroports</w:t>
                  </w:r>
                  <w:r>
                    <w:rPr>
                      <w:color w:val="002060"/>
                      <w:sz w:val="20"/>
                      <w:szCs w:val="20"/>
                    </w:rPr>
                    <w:tab/>
                  </w:r>
                  <w:r w:rsidR="00735229">
                    <w:rPr>
                      <w:color w:val="002060"/>
                      <w:sz w:val="20"/>
                      <w:szCs w:val="20"/>
                    </w:rPr>
                    <w:tab/>
                  </w:r>
                  <w:r>
                    <w:rPr>
                      <w:color w:val="002060"/>
                      <w:sz w:val="20"/>
                      <w:szCs w:val="20"/>
                    </w:rPr>
                    <w:t>servent de carrefours à toutes les échelles.</w:t>
                  </w:r>
                </w:p>
              </w:txbxContent>
            </v:textbox>
          </v:shape>
        </w:pict>
      </w:r>
    </w:p>
    <w:p w:rsidR="009014F8" w:rsidRDefault="00073972">
      <w:pPr>
        <w:rPr>
          <w:b/>
          <w:color w:val="FF0000"/>
        </w:rPr>
      </w:pPr>
      <w:r>
        <w:rPr>
          <w:b/>
          <w:noProof/>
          <w:color w:val="FF0000"/>
          <w:lang w:eastAsia="fr-FR"/>
        </w:rPr>
        <w:pict>
          <v:rect id="_x0000_s1330" style="position:absolute;margin-left:409.5pt;margin-top:13.9pt;width:16.5pt;height:14.25pt;z-index:252027904" o:regroupid="5" filled="f" strokecolor="#7030a0" strokeweight="4.5pt"/>
        </w:pict>
      </w:r>
      <w:r w:rsidRPr="00073972">
        <w:rPr>
          <w:noProof/>
          <w:lang w:eastAsia="fr-FR"/>
        </w:rPr>
        <w:pict>
          <v:shape id="_x0000_s1329" type="#_x0000_t32" style="position:absolute;margin-left:.75pt;margin-top:8.65pt;width:51.75pt;height:0;z-index:252026880" o:connectortype="straight" o:regroupid="5" strokecolor="#7030a0" strokeweight="2.25pt"/>
        </w:pict>
      </w:r>
    </w:p>
    <w:p w:rsidR="00380BF2" w:rsidRPr="00380BF2" w:rsidRDefault="00073972">
      <w:pPr>
        <w:rPr>
          <w:b/>
          <w:color w:val="FF0000"/>
        </w:rPr>
      </w:pPr>
      <w:r>
        <w:rPr>
          <w:b/>
          <w:noProof/>
          <w:color w:val="FF0000"/>
          <w:lang w:eastAsia="fr-FR"/>
        </w:rPr>
        <w:pict>
          <v:shape id="_x0000_s1345" type="#_x0000_t202" style="position:absolute;margin-left:107.25pt;margin-top:7.2pt;width:650.7pt;height:64.7pt;z-index:252008448" filled="f" stroked="f">
            <v:textbox>
              <w:txbxContent>
                <w:p w:rsidR="00EE6B7C" w:rsidRPr="009014F8" w:rsidRDefault="00EE6B7C" w:rsidP="00EE6B7C">
                  <w:pPr>
                    <w:pStyle w:val="Sansinterligne"/>
                    <w:jc w:val="both"/>
                    <w:rPr>
                      <w:color w:val="002060"/>
                      <w:sz w:val="20"/>
                      <w:szCs w:val="20"/>
                    </w:rPr>
                  </w:pPr>
                  <w:r>
                    <w:rPr>
                      <w:color w:val="002060"/>
                      <w:sz w:val="20"/>
                      <w:szCs w:val="20"/>
                    </w:rPr>
                    <w:t xml:space="preserve">L’illusion cartographique, la </w:t>
                  </w:r>
                  <w:proofErr w:type="spellStart"/>
                  <w:r w:rsidRPr="00190B1D">
                    <w:rPr>
                      <w:i/>
                      <w:color w:val="002060"/>
                      <w:sz w:val="20"/>
                      <w:szCs w:val="20"/>
                    </w:rPr>
                    <w:t>sweatbelt</w:t>
                  </w:r>
                  <w:proofErr w:type="spellEnd"/>
                  <w:r>
                    <w:rPr>
                      <w:color w:val="002060"/>
                      <w:sz w:val="20"/>
                      <w:szCs w:val="20"/>
                    </w:rPr>
                    <w:t xml:space="preserve"> (Ceinture de la sueur) : ce </w:t>
                  </w:r>
                  <w:r w:rsidRPr="00B25E76">
                    <w:rPr>
                      <w:b/>
                      <w:color w:val="002060"/>
                      <w:sz w:val="20"/>
                      <w:szCs w:val="20"/>
                    </w:rPr>
                    <w:t>croissant périphérique</w:t>
                  </w:r>
                  <w:r>
                    <w:rPr>
                      <w:color w:val="002060"/>
                      <w:sz w:val="20"/>
                      <w:szCs w:val="20"/>
                    </w:rPr>
                    <w:t xml:space="preserve"> qui semble unifier les pôles dynamiques des régions littorales se caractérise par l’exploitation des ressources naturelles (Gaz de schiste, pétrole, agriculture insérée dans les IAA) et la main d’œuvre peu qualifiée, peu syndiquée et mal payée. Cette région est irriguée par des bassins fluviaux dont celui du Mississippi</w:t>
                  </w:r>
                  <w:r w:rsidR="00B25E76">
                    <w:rPr>
                      <w:color w:val="002060"/>
                      <w:sz w:val="20"/>
                      <w:szCs w:val="20"/>
                    </w:rPr>
                    <w:tab/>
                  </w:r>
                  <w:r w:rsidR="00B25E76">
                    <w:rPr>
                      <w:color w:val="002060"/>
                      <w:sz w:val="20"/>
                      <w:szCs w:val="20"/>
                    </w:rPr>
                    <w:tab/>
                  </w:r>
                  <w:r>
                    <w:rPr>
                      <w:color w:val="002060"/>
                      <w:sz w:val="20"/>
                      <w:szCs w:val="20"/>
                    </w:rPr>
                    <w:t>, seul axe méridien dynamique </w:t>
                  </w:r>
                  <w:r w:rsidR="00B25E76">
                    <w:rPr>
                      <w:color w:val="002060"/>
                      <w:sz w:val="20"/>
                      <w:szCs w:val="20"/>
                    </w:rPr>
                    <w:t>des États-Unis et jusqu’au milieu du XIXe siècle, frontière extrême du peuplement anglo-saxon et européen immigré.</w:t>
                  </w:r>
                </w:p>
              </w:txbxContent>
            </v:textbox>
          </v:shape>
        </w:pict>
      </w:r>
      <w:r>
        <w:rPr>
          <w:b/>
          <w:noProof/>
          <w:color w:val="FF0000"/>
          <w:lang w:eastAsia="fr-FR"/>
        </w:rPr>
        <w:pict>
          <v:rect id="_x0000_s1334" style="position:absolute;margin-left:.75pt;margin-top:18.35pt;width:51.75pt;height:18.75pt;z-index:252000256" fillcolor="yellow" stroked="f"/>
        </w:pict>
      </w:r>
      <w:r w:rsidR="00380BF2" w:rsidRPr="00380BF2">
        <w:rPr>
          <w:b/>
          <w:color w:val="FF0000"/>
        </w:rPr>
        <w:t>II. </w:t>
      </w:r>
      <w:r w:rsidR="00835F37">
        <w:rPr>
          <w:b/>
          <w:color w:val="FF0000"/>
        </w:rPr>
        <w:t>LES LITTORAUX INSÉRÉ</w:t>
      </w:r>
      <w:r w:rsidR="00EE6B7C">
        <w:rPr>
          <w:b/>
          <w:color w:val="FF0000"/>
        </w:rPr>
        <w:t>S DANS LA MONDIALISATION MAIS</w:t>
      </w:r>
      <w:r w:rsidR="00835F37">
        <w:rPr>
          <w:b/>
          <w:color w:val="FF0000"/>
        </w:rPr>
        <w:t xml:space="preserve"> INÉGALEMENT ATTRACTIFS</w:t>
      </w:r>
      <w:r w:rsidR="006B3F6C">
        <w:rPr>
          <w:b/>
          <w:color w:val="FF0000"/>
        </w:rPr>
        <w:t>. </w:t>
      </w:r>
    </w:p>
    <w:p w:rsidR="00380BF2" w:rsidRDefault="00073972">
      <w:r w:rsidRPr="00073972">
        <w:rPr>
          <w:b/>
          <w:noProof/>
          <w:color w:val="FF0000"/>
          <w:lang w:eastAsia="fr-FR"/>
        </w:rPr>
        <w:pict>
          <v:shape id="_x0000_s1346" style="position:absolute;margin-left:539.25pt;margin-top:-1.05pt;width:24.95pt;height:30.8pt;rotation:7552895fd;z-index:252009472" coordsize="1889,5437" path="m5,145c8,131,,84,23,61,46,38,104,8,146,4,188,,241,17,275,37v34,20,67,55,75,90c358,162,340,219,323,247v-17,28,-58,26,-78,51c225,323,210,357,203,397v-7,40,-19,100,,141c222,579,272,611,317,640v45,29,103,48,156,72c526,736,593,766,638,784v45,18,68,22,105,36c780,834,817,831,860,868v43,37,83,91,141,177c1059,1131,1175,1305,1208,1387v33,82,3,101,-6,150c1193,1586,1168,1643,1154,1684v-14,41,-25,62,-36,102c1107,1826,1093,1895,1085,1927v-8,32,-15,33,-15,51c1070,1996,1076,2010,1085,2038v9,28,25,72,39,111c1138,2188,1133,2234,1172,2272v39,38,143,61,186,108c1401,2427,1400,2498,1427,2551v27,53,64,106,93,150c1549,2745,1575,2784,1604,2818v29,34,58,63,90,87c1726,2929,1784,2929,1796,2965v12,36,-17,100,-30,156c1753,3177,1727,3252,1715,3301v-12,49,-12,72,-21,114c1685,3457,1674,3511,1661,3553v-13,42,-28,74,-45,114c1599,3707,1579,3751,1559,3796v-20,45,-42,90,-66,141c1469,3988,1432,4052,1418,4102v-14,50,-12,101,-12,138c1406,4277,1411,4298,1418,4327v7,29,22,63,30,90c1456,4444,1466,4463,1466,4492v,29,-11,65,-21,102c1435,4631,1415,4677,1403,4717v-12,40,-21,86,-30,120c1364,4871,1353,4888,1346,4921v-7,33,-19,84,-12,114c1341,5065,1374,5086,1388,5104v14,18,11,18,33,39c1443,5164,1482,5207,1517,5230v35,23,85,40,114,54c1660,5298,1663,5301,1691,5314v28,13,75,27,108,48c1832,5383,1870,5421,1889,5437e" filled="f" strokecolor="#0070c0" strokeweight="2.25pt">
            <v:path arrowok="t"/>
          </v:shape>
        </w:pict>
      </w:r>
    </w:p>
    <w:p w:rsidR="00127F53" w:rsidRDefault="00073972">
      <w:r>
        <w:rPr>
          <w:noProof/>
          <w:lang w:eastAsia="fr-FR"/>
        </w:rPr>
        <w:pict>
          <v:shape id="_x0000_s1347" type="#_x0000_t202" style="position:absolute;margin-left:106.5pt;margin-top:7.35pt;width:651.45pt;height:34.5pt;z-index:252010496" filled="f" stroked="f">
            <v:textbox>
              <w:txbxContent>
                <w:p w:rsidR="001E46A5" w:rsidRPr="009014F8" w:rsidRDefault="001E46A5" w:rsidP="001E46A5">
                  <w:pPr>
                    <w:pStyle w:val="Sansinterligne"/>
                    <w:jc w:val="both"/>
                    <w:rPr>
                      <w:color w:val="002060"/>
                      <w:sz w:val="20"/>
                      <w:szCs w:val="20"/>
                    </w:rPr>
                  </w:pPr>
                  <w:r>
                    <w:rPr>
                      <w:color w:val="002060"/>
                      <w:sz w:val="20"/>
                      <w:szCs w:val="20"/>
                    </w:rPr>
                    <w:t xml:space="preserve">Les espaces très attractifs en </w:t>
                  </w:r>
                  <w:r w:rsidRPr="001E46A5">
                    <w:rPr>
                      <w:b/>
                      <w:color w:val="002060"/>
                      <w:sz w:val="20"/>
                      <w:szCs w:val="20"/>
                    </w:rPr>
                    <w:t>périphérie des aires métropolitaines</w:t>
                  </w:r>
                  <w:r>
                    <w:rPr>
                      <w:color w:val="002060"/>
                      <w:sz w:val="20"/>
                      <w:szCs w:val="20"/>
                    </w:rPr>
                    <w:t xml:space="preserve"> secondaires. Relocalisations industrielles récentes, industrie d’assemblage de haute technologie, agriculture intensive (</w:t>
                  </w:r>
                  <w:proofErr w:type="spellStart"/>
                  <w:r>
                    <w:rPr>
                      <w:color w:val="002060"/>
                      <w:sz w:val="20"/>
                      <w:szCs w:val="20"/>
                    </w:rPr>
                    <w:t>Viti</w:t>
                  </w:r>
                  <w:proofErr w:type="spellEnd"/>
                  <w:r>
                    <w:rPr>
                      <w:color w:val="002060"/>
                      <w:sz w:val="20"/>
                      <w:szCs w:val="20"/>
                    </w:rPr>
                    <w:t xml:space="preserve"> &amp; viniculture, maraîchage, cultures tropicales destinées aux IAA). </w:t>
                  </w:r>
                </w:p>
              </w:txbxContent>
            </v:textbox>
          </v:shape>
        </w:pict>
      </w:r>
      <w:r w:rsidRPr="00073972">
        <w:rPr>
          <w:b/>
          <w:noProof/>
          <w:color w:val="FF0000"/>
          <w:lang w:eastAsia="fr-FR"/>
        </w:rPr>
        <w:pict>
          <v:rect id="_x0000_s1333" style="position:absolute;margin-left:.65pt;margin-top:11pt;width:51.75pt;height:18.75pt;z-index:251999232" fillcolor="#ffc000" stroked="f"/>
        </w:pict>
      </w:r>
    </w:p>
    <w:p w:rsidR="00127F53" w:rsidRDefault="00073972">
      <w:r>
        <w:rPr>
          <w:noProof/>
          <w:lang w:eastAsia="fr-FR"/>
        </w:rPr>
        <w:pict>
          <v:shape id="_x0000_s1348" type="#_x0000_t202" style="position:absolute;margin-left:106.9pt;margin-top:11.3pt;width:651.45pt;height:60.6pt;z-index:252017664" filled="f" stroked="f">
            <v:textbox>
              <w:txbxContent>
                <w:p w:rsidR="001E46A5" w:rsidRPr="009014F8" w:rsidRDefault="001E46A5" w:rsidP="001E46A5">
                  <w:pPr>
                    <w:pStyle w:val="Sansinterligne"/>
                    <w:jc w:val="both"/>
                    <w:rPr>
                      <w:color w:val="002060"/>
                      <w:sz w:val="20"/>
                      <w:szCs w:val="20"/>
                    </w:rPr>
                  </w:pPr>
                  <w:r w:rsidRPr="00735229">
                    <w:rPr>
                      <w:b/>
                      <w:color w:val="002060"/>
                      <w:sz w:val="20"/>
                      <w:szCs w:val="20"/>
                    </w:rPr>
                    <w:t xml:space="preserve">Les </w:t>
                  </w:r>
                  <w:r w:rsidR="00735229" w:rsidRPr="00735229">
                    <w:rPr>
                      <w:b/>
                      <w:color w:val="002060"/>
                      <w:sz w:val="20"/>
                      <w:szCs w:val="20"/>
                    </w:rPr>
                    <w:t>pôles les plus dynamiques du croissant périphérique</w:t>
                  </w:r>
                  <w:r w:rsidR="00735229">
                    <w:rPr>
                      <w:color w:val="002060"/>
                      <w:sz w:val="20"/>
                      <w:szCs w:val="20"/>
                    </w:rPr>
                    <w:t xml:space="preserve"> : structurés autour d’aires métropolitaines uniques (Miami, Atlanta, Phoenix) ou duales (Seattle-Vancouver, les </w:t>
                  </w:r>
                  <w:proofErr w:type="spellStart"/>
                  <w:r w:rsidR="00735229" w:rsidRPr="00735229">
                    <w:rPr>
                      <w:i/>
                      <w:color w:val="002060"/>
                      <w:sz w:val="20"/>
                      <w:szCs w:val="20"/>
                    </w:rPr>
                    <w:t>twins</w:t>
                  </w:r>
                  <w:proofErr w:type="spellEnd"/>
                  <w:r w:rsidR="00735229" w:rsidRPr="00735229">
                    <w:rPr>
                      <w:i/>
                      <w:color w:val="002060"/>
                      <w:sz w:val="20"/>
                      <w:szCs w:val="20"/>
                    </w:rPr>
                    <w:t xml:space="preserve"> </w:t>
                  </w:r>
                  <w:proofErr w:type="spellStart"/>
                  <w:r w:rsidR="00735229" w:rsidRPr="00735229">
                    <w:rPr>
                      <w:i/>
                      <w:color w:val="002060"/>
                      <w:sz w:val="20"/>
                      <w:szCs w:val="20"/>
                    </w:rPr>
                    <w:t>cities</w:t>
                  </w:r>
                  <w:proofErr w:type="spellEnd"/>
                  <w:r w:rsidR="00735229">
                    <w:rPr>
                      <w:color w:val="002060"/>
                      <w:sz w:val="20"/>
                      <w:szCs w:val="20"/>
                    </w:rPr>
                    <w:t xml:space="preserve"> de la </w:t>
                  </w:r>
                  <w:proofErr w:type="spellStart"/>
                  <w:r w:rsidR="00735229">
                    <w:rPr>
                      <w:color w:val="002060"/>
                      <w:sz w:val="20"/>
                      <w:szCs w:val="20"/>
                    </w:rPr>
                    <w:t>Mexamérique</w:t>
                  </w:r>
                  <w:proofErr w:type="spellEnd"/>
                  <w:r w:rsidR="00735229">
                    <w:rPr>
                      <w:color w:val="002060"/>
                      <w:sz w:val="20"/>
                      <w:szCs w:val="20"/>
                    </w:rPr>
                    <w:t xml:space="preserve">, le duopole Houston-Dallas), ces pôles agrègent une population pauvre et </w:t>
                  </w:r>
                  <w:proofErr w:type="spellStart"/>
                  <w:r w:rsidR="00735229">
                    <w:rPr>
                      <w:color w:val="002060"/>
                      <w:sz w:val="20"/>
                      <w:szCs w:val="20"/>
                    </w:rPr>
                    <w:t>ouvrieuse</w:t>
                  </w:r>
                  <w:proofErr w:type="spellEnd"/>
                  <w:r w:rsidR="00735229">
                    <w:rPr>
                      <w:color w:val="002060"/>
                      <w:sz w:val="20"/>
                      <w:szCs w:val="20"/>
                    </w:rPr>
                    <w:t xml:space="preserve"> et des diplômés de la haute technologie, de la finance</w:t>
                  </w:r>
                  <w:r w:rsidR="00B55A34">
                    <w:rPr>
                      <w:color w:val="002060"/>
                      <w:sz w:val="20"/>
                      <w:szCs w:val="20"/>
                    </w:rPr>
                    <w:t>. C’est leur apparent rassemblement en une région unique qui donne l’impression de l’existence d’un croissant périphérique</w:t>
                  </w:r>
                  <w:r w:rsidR="00A95DF9">
                    <w:rPr>
                      <w:color w:val="002060"/>
                      <w:sz w:val="20"/>
                      <w:szCs w:val="20"/>
                    </w:rPr>
                    <w:t>, qui reste encore essentiellement une région polycentrique de pôles en réseaux encore assez lâches</w:t>
                  </w:r>
                  <w:r>
                    <w:rPr>
                      <w:color w:val="002060"/>
                      <w:sz w:val="20"/>
                      <w:szCs w:val="20"/>
                    </w:rPr>
                    <w:t>. </w:t>
                  </w:r>
                </w:p>
              </w:txbxContent>
            </v:textbox>
          </v:shape>
        </w:pict>
      </w:r>
      <w:r w:rsidRPr="00073972">
        <w:rPr>
          <w:b/>
          <w:noProof/>
          <w:color w:val="FF0000"/>
          <w:lang w:eastAsia="fr-FR"/>
        </w:rPr>
        <w:pict>
          <v:oval id="_x0000_s1336" style="position:absolute;margin-left:4.1pt;margin-top:16.6pt;width:45.1pt;height:45.1pt;z-index:252002304" filled="f" strokecolor="#606" strokeweight="6pt">
            <v:stroke dashstyle="1 1"/>
          </v:oval>
        </w:pict>
      </w:r>
    </w:p>
    <w:p w:rsidR="00127F53" w:rsidRDefault="00127F53"/>
    <w:p w:rsidR="00127F53" w:rsidRDefault="00127F53"/>
    <w:p w:rsidR="00380BF2" w:rsidRPr="00380BF2" w:rsidRDefault="00073972">
      <w:pPr>
        <w:rPr>
          <w:b/>
          <w:color w:val="FF0000"/>
        </w:rPr>
      </w:pPr>
      <w:r w:rsidRPr="00073972">
        <w:rPr>
          <w:noProof/>
          <w:lang w:eastAsia="fr-FR"/>
        </w:rPr>
        <w:pict>
          <v:shape id="_x0000_s1356" type="#_x0000_t202" style="position:absolute;margin-left:107.65pt;margin-top:6.2pt;width:651.45pt;height:56.1pt;z-index:252037120" filled="f" stroked="f">
            <v:textbox>
              <w:txbxContent>
                <w:p w:rsidR="00CE6482" w:rsidRPr="009014F8" w:rsidRDefault="00CE6482" w:rsidP="00CE6482">
                  <w:pPr>
                    <w:pStyle w:val="Sansinterligne"/>
                    <w:jc w:val="both"/>
                    <w:rPr>
                      <w:color w:val="002060"/>
                      <w:sz w:val="20"/>
                      <w:szCs w:val="20"/>
                    </w:rPr>
                  </w:pPr>
                  <w:r w:rsidRPr="00735229">
                    <w:rPr>
                      <w:b/>
                      <w:color w:val="002060"/>
                      <w:sz w:val="20"/>
                      <w:szCs w:val="20"/>
                    </w:rPr>
                    <w:t xml:space="preserve">Les </w:t>
                  </w:r>
                  <w:r>
                    <w:rPr>
                      <w:b/>
                      <w:color w:val="002060"/>
                      <w:sz w:val="20"/>
                      <w:szCs w:val="20"/>
                    </w:rPr>
                    <w:t xml:space="preserve">principaux partenaires des États-Unis : </w:t>
                  </w:r>
                  <w:r>
                    <w:rPr>
                      <w:color w:val="002060"/>
                      <w:sz w:val="20"/>
                      <w:szCs w:val="20"/>
                    </w:rPr>
                    <w:t>la façade orientale de l’Asie et l’Europe de l’Ouest, essentiellement les deux autres pôles de la Triade. La Chine est le premier partenaire financier, industrielle et commercial des États-Unis, lourdement endettés et qui ont depuis les années 1990’ massivement délocalisés leur production industrielle vers l’Asie du Sud et de l’Est. En retour des flux de travailleurs très qualifiés (Inde, Chine, Japon, UE) irriguent les campus américains et les parcs technologiques.  </w:t>
                  </w:r>
                </w:p>
              </w:txbxContent>
            </v:textbox>
          </v:shape>
        </w:pict>
      </w:r>
      <w:r>
        <w:rPr>
          <w:b/>
          <w:noProof/>
          <w:color w:val="FF0000"/>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355" type="#_x0000_t69" style="position:absolute;margin-left:.65pt;margin-top:13.25pt;width:52.6pt;height:27pt;z-index:252036096" strokecolor="#548dd4 [1951]" strokeweight="3pt"/>
        </w:pict>
      </w:r>
      <w:r w:rsidR="00380BF2" w:rsidRPr="00380BF2">
        <w:rPr>
          <w:b/>
          <w:color w:val="FF0000"/>
        </w:rPr>
        <w:t>III.</w:t>
      </w:r>
      <w:r w:rsidR="00380BF2">
        <w:rPr>
          <w:b/>
          <w:color w:val="FF0000"/>
        </w:rPr>
        <w:t xml:space="preserve"> </w:t>
      </w:r>
      <w:r w:rsidR="00835F37">
        <w:rPr>
          <w:b/>
          <w:color w:val="FF0000"/>
        </w:rPr>
        <w:t>LES DYNAMIQUES DE PEUPLEMENT RESTENT MARQUÉES PAR UNE LOGIQUE DE FRONT PIONNIERS. </w:t>
      </w:r>
    </w:p>
    <w:p w:rsidR="00380BF2" w:rsidRDefault="00380BF2"/>
    <w:p w:rsidR="009E1E22" w:rsidRDefault="00073972">
      <w:r w:rsidRPr="00073972">
        <w:rPr>
          <w:b/>
          <w:noProof/>
          <w:color w:val="FF0000"/>
          <w:lang w:eastAsia="fr-FR"/>
        </w:rPr>
        <w:pict>
          <v:rect id="_x0000_s1335" style="position:absolute;margin-left:.75pt;margin-top:91.7pt;width:51.75pt;height:18.75pt;z-index:252001280"/>
        </w:pict>
      </w:r>
      <w:r w:rsidRPr="00073972">
        <w:rPr>
          <w:b/>
          <w:noProof/>
          <w:color w:val="FF0000"/>
          <w:lang w:eastAsia="fr-FR"/>
        </w:rPr>
        <w:pict>
          <v:shape id="_x0000_s1360" type="#_x0000_t202" style="position:absolute;margin-left:106.9pt;margin-top:88.1pt;width:651.45pt;height:35.1pt;z-index:252041216" filled="f" stroked="f">
            <v:textbox>
              <w:txbxContent>
                <w:p w:rsidR="0059261C" w:rsidRPr="009014F8" w:rsidRDefault="0059261C" w:rsidP="0059261C">
                  <w:pPr>
                    <w:pStyle w:val="Sansinterligne"/>
                    <w:jc w:val="both"/>
                    <w:rPr>
                      <w:color w:val="002060"/>
                      <w:sz w:val="20"/>
                      <w:szCs w:val="20"/>
                    </w:rPr>
                  </w:pPr>
                  <w:r>
                    <w:rPr>
                      <w:b/>
                      <w:color w:val="002060"/>
                      <w:sz w:val="20"/>
                      <w:szCs w:val="20"/>
                    </w:rPr>
                    <w:t>Les espaces réserves</w:t>
                  </w:r>
                  <w:r>
                    <w:rPr>
                      <w:color w:val="002060"/>
                      <w:sz w:val="20"/>
                      <w:szCs w:val="20"/>
                    </w:rPr>
                    <w:t> : Grandes plaines d’agriculture extensive, montagnes rocheuses, périphéries montagneuses du Nord, les espaces réserves assurent la perpétuation de la logique pionnière des flux de peuplement du territoire américain. Les densités et les salaires y sont faibles mais le chômage aussi.</w:t>
                  </w:r>
                </w:p>
              </w:txbxContent>
            </v:textbox>
          </v:shape>
        </w:pict>
      </w:r>
      <w:r w:rsidRPr="00073972">
        <w:rPr>
          <w:b/>
          <w:noProof/>
          <w:color w:val="FF0000"/>
          <w:lang w:eastAsia="fr-FR"/>
        </w:rPr>
        <w:pict>
          <v:shape id="_x0000_s1358" type="#_x0000_t202" style="position:absolute;margin-left:108.4pt;margin-top:27.35pt;width:651.45pt;height:68.85pt;z-index:252039168" filled="f" stroked="f">
            <v:textbox>
              <w:txbxContent>
                <w:p w:rsidR="00CE6482" w:rsidRPr="009014F8" w:rsidRDefault="00CE6482" w:rsidP="00CE6482">
                  <w:pPr>
                    <w:pStyle w:val="Sansinterligne"/>
                    <w:jc w:val="both"/>
                    <w:rPr>
                      <w:color w:val="002060"/>
                      <w:sz w:val="20"/>
                      <w:szCs w:val="20"/>
                    </w:rPr>
                  </w:pPr>
                  <w:r w:rsidRPr="00735229">
                    <w:rPr>
                      <w:b/>
                      <w:color w:val="002060"/>
                      <w:sz w:val="20"/>
                      <w:szCs w:val="20"/>
                    </w:rPr>
                    <w:t xml:space="preserve">Les </w:t>
                  </w:r>
                  <w:r>
                    <w:rPr>
                      <w:b/>
                      <w:color w:val="002060"/>
                      <w:sz w:val="20"/>
                      <w:szCs w:val="20"/>
                    </w:rPr>
                    <w:t xml:space="preserve">principaux flux démographiques aux États-Unis : </w:t>
                  </w:r>
                  <w:r>
                    <w:rPr>
                      <w:color w:val="002060"/>
                      <w:sz w:val="20"/>
                      <w:szCs w:val="20"/>
                    </w:rPr>
                    <w:t xml:space="preserve">caractérisé par un tropisme occidental, les dynamiques démographiques ont d’abord favorisé les Grandes plaines, puis depuis la crise (1929) </w:t>
                  </w:r>
                  <w:r>
                    <w:rPr>
                      <w:color w:val="002060"/>
                      <w:sz w:val="20"/>
                      <w:szCs w:val="20"/>
                    </w:rPr>
                    <w:tab/>
                  </w:r>
                  <w:r>
                    <w:rPr>
                      <w:color w:val="002060"/>
                      <w:sz w:val="20"/>
                      <w:szCs w:val="20"/>
                    </w:rPr>
                    <w:tab/>
                    <w:t>et la Seconde Guerre mondiale (1941-1945) la Californie.  </w:t>
                  </w:r>
                  <w:r w:rsidR="0059261C">
                    <w:rPr>
                      <w:color w:val="002060"/>
                      <w:sz w:val="20"/>
                      <w:szCs w:val="20"/>
                    </w:rPr>
                    <w:t xml:space="preserve">Depuis les années 1990’ et 2000’, les flux </w:t>
                  </w:r>
                  <w:r w:rsidR="0059261C">
                    <w:rPr>
                      <w:color w:val="002060"/>
                      <w:sz w:val="20"/>
                      <w:szCs w:val="20"/>
                    </w:rPr>
                    <w:tab/>
                  </w:r>
                  <w:r w:rsidR="0059261C">
                    <w:rPr>
                      <w:color w:val="002060"/>
                      <w:sz w:val="20"/>
                      <w:szCs w:val="20"/>
                    </w:rPr>
                    <w:tab/>
                    <w:t xml:space="preserve">se réorientent vers les métropoles secondaires assurant de bons niveaux de revenus et des aménités (Cadre de vie, sécurité, fluidité du transport) absentes dans les métropoles majeures. Les migrations latino-américaines </w:t>
                  </w:r>
                  <w:r w:rsidR="0059261C">
                    <w:rPr>
                      <w:color w:val="002060"/>
                      <w:sz w:val="20"/>
                      <w:szCs w:val="20"/>
                    </w:rPr>
                    <w:tab/>
                  </w:r>
                  <w:r w:rsidR="0059261C">
                    <w:rPr>
                      <w:color w:val="002060"/>
                      <w:sz w:val="20"/>
                      <w:szCs w:val="20"/>
                    </w:rPr>
                    <w:tab/>
                    <w:t>apportent les travailleurs peu qualifiés pour l’économie de main d’œuvre du croissant périphérique.</w:t>
                  </w:r>
                </w:p>
              </w:txbxContent>
            </v:textbox>
          </v:shape>
        </w:pict>
      </w:r>
      <w:r>
        <w:rPr>
          <w:noProof/>
          <w:lang w:eastAsia="fr-FR"/>
        </w:rPr>
        <w:pict>
          <v:shape id="_x0000_s1359" style="position:absolute;margin-left:464.5pt;margin-top:60.2pt;width:28.05pt;height:36.1pt;rotation:-8427530fd;flip:x;z-index:252040192" coordsize="619,2445" path="m,2445c128,2229,257,2014,356,1725,455,1436,569,1001,594,714,619,427,561,213,504,e" filled="f" strokecolor="green" strokeweight="2.25pt">
            <v:stroke dashstyle="1 1" endarrow="open" endcap="round"/>
            <v:path arrowok="t"/>
          </v:shape>
        </w:pict>
      </w:r>
      <w:r w:rsidRPr="00073972">
        <w:rPr>
          <w:b/>
          <w:noProof/>
          <w:color w:val="FF0000"/>
          <w:lang w:eastAsia="fr-FR"/>
        </w:rPr>
        <w:pict>
          <v:shape id="_x0000_s1352" style="position:absolute;margin-left:145.95pt;margin-top:35.15pt;width:24.95pt;height:49.15pt;rotation:-7334000fd;flip:y;z-index:252032000" coordsize="619,2445" path="m,2445c128,2229,257,2014,356,1725,455,1436,569,1001,594,714,619,427,561,213,504,e" filled="f" strokecolor="green" strokeweight="2.25pt">
            <v:stroke endarrow="open"/>
            <v:path arrowok="t"/>
          </v:shape>
        </w:pict>
      </w:r>
      <w:r w:rsidRPr="00073972">
        <w:rPr>
          <w:b/>
          <w:noProof/>
          <w:color w:val="FF0000"/>
          <w:lang w:eastAsia="fr-FR"/>
        </w:rPr>
        <w:pict>
          <v:shape id="_x0000_s1353" style="position:absolute;margin-left:302.65pt;margin-top:30.5pt;width:42.85pt;height:29.45pt;rotation:1522273fd;z-index:252033024" coordsize="3675,975" path="m3675,v-77,181,-153,363,-765,525c2298,687,485,900,,975e" filled="f" strokecolor="green" strokeweight="6pt">
            <v:stroke endarrow="block"/>
            <v:path arrowok="t"/>
          </v:shape>
        </w:pict>
      </w:r>
      <w:r w:rsidRPr="00073972">
        <w:rPr>
          <w:b/>
          <w:noProof/>
          <w:color w:val="FF0000"/>
          <w:lang w:eastAsia="fr-FR"/>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354" type="#_x0000_t93" style="position:absolute;margin-left:.05pt;margin-top:45.75pt;width:52.35pt;height:21.5pt;rotation:180;z-index:252034048" fillcolor="green" strokecolor="green"/>
        </w:pict>
      </w:r>
      <w:r w:rsidRPr="00073972">
        <w:rPr>
          <w:b/>
          <w:noProof/>
          <w:color w:val="FF0000"/>
          <w:lang w:eastAsia="fr-FR"/>
        </w:rPr>
        <w:pict>
          <v:shape id="_x0000_s1357" type="#_x0000_t202" style="position:absolute;margin-left:106.9pt;margin-top:3.35pt;width:651.45pt;height:35.1pt;z-index:252038144" filled="f" stroked="f">
            <v:textbox>
              <w:txbxContent>
                <w:p w:rsidR="00CE6482" w:rsidRPr="009014F8" w:rsidRDefault="00CE6482" w:rsidP="00CE6482">
                  <w:pPr>
                    <w:pStyle w:val="Sansinterligne"/>
                    <w:jc w:val="both"/>
                    <w:rPr>
                      <w:color w:val="002060"/>
                      <w:sz w:val="20"/>
                      <w:szCs w:val="20"/>
                    </w:rPr>
                  </w:pPr>
                  <w:r w:rsidRPr="00735229">
                    <w:rPr>
                      <w:b/>
                      <w:color w:val="002060"/>
                      <w:sz w:val="20"/>
                      <w:szCs w:val="20"/>
                    </w:rPr>
                    <w:t xml:space="preserve">Les </w:t>
                  </w:r>
                  <w:r>
                    <w:rPr>
                      <w:b/>
                      <w:color w:val="002060"/>
                      <w:sz w:val="20"/>
                      <w:szCs w:val="20"/>
                    </w:rPr>
                    <w:t xml:space="preserve">ZIP étatsuniennes : </w:t>
                  </w:r>
                  <w:r>
                    <w:rPr>
                      <w:color w:val="002060"/>
                      <w:sz w:val="20"/>
                      <w:szCs w:val="20"/>
                    </w:rPr>
                    <w:t>ports de vrac de plus de 200,000 tonnes, ou de plus de 50,000 tonnes, ports de conteneurs de plus de 5 millions d’EVP et de plus d’1 millions. De taille modeste par rapport à leurs voisins asiatiques ou européens, leur densité constitue de longues façades maritimes sur tous les littoraux.  </w:t>
                  </w:r>
                </w:p>
              </w:txbxContent>
            </v:textbox>
          </v:shape>
        </w:pict>
      </w:r>
      <w:r w:rsidRPr="00073972">
        <w:rPr>
          <w:b/>
          <w:noProof/>
          <w:color w:val="FF0000"/>
          <w:lang w:eastAsia="fr-FR"/>
        </w:rPr>
        <w:pict>
          <v:shapetype id="_x0000_t6" coordsize="21600,21600" o:spt="6" path="m,l,21600r21600,xe">
            <v:stroke joinstyle="miter"/>
            <v:path gradientshapeok="t" o:connecttype="custom" o:connectlocs="0,0;0,10800;0,21600;10800,21600;21600,21600;10800,10800" textboxrect="1800,12600,12600,19800"/>
          </v:shapetype>
          <v:shape id="_x0000_s1344" type="#_x0000_t6" style="position:absolute;margin-left:38.3pt;margin-top:2.85pt;width:51pt;height:21.75pt;rotation:-974113fd;z-index:252007424" fillcolor="#b8cce4 [1300]" strokecolor="#548dd4 [1951]" strokeweight="3pt"/>
        </w:pict>
      </w:r>
      <w:r w:rsidRPr="00073972">
        <w:rPr>
          <w:b/>
          <w:noProof/>
          <w:color w:val="FF0000"/>
          <w:lang w:eastAsia="fr-FR"/>
        </w:rPr>
        <w:pict>
          <v:rect id="_x0000_s1343" style="position:absolute;margin-left:.65pt;margin-top:8.75pt;width:23.5pt;height:23.8pt;z-index:251630566" fillcolor="#b8cce4 [1300]" strokecolor="#548dd4 [1951]" strokeweight="2.25pt"/>
        </w:pict>
      </w:r>
      <w:r w:rsidRPr="00073972">
        <w:rPr>
          <w:b/>
          <w:noProof/>
          <w:color w:val="FF0000"/>
          <w:lang w:eastAsia="fr-FR"/>
        </w:rPr>
        <w:pict>
          <v:rect id="_x0000_s1342" style="position:absolute;margin-left:11.9pt;margin-top:18.4pt;width:12.25pt;height:14.15pt;z-index:252005376" fillcolor="#b8cce4 [1300]" strokecolor="#548dd4 [1951]" strokeweight="2.25pt"/>
        </w:pict>
      </w:r>
      <w:r w:rsidRPr="00073972">
        <w:rPr>
          <w:b/>
          <w:noProof/>
          <w:color w:val="FF0000"/>
          <w:lang w:eastAsia="fr-FR"/>
        </w:rPr>
        <w:pict>
          <v:shape id="_x0000_s1341" type="#_x0000_t6" style="position:absolute;margin-left:34.5pt;margin-top:8.75pt;width:35.2pt;height:21.75pt;rotation:-1446400fd;z-index:252035072" fillcolor="#b8cce4 [1300]" strokecolor="#548dd4 [1951]" strokeweight="1.5pt"/>
        </w:pict>
      </w:r>
    </w:p>
    <w:sectPr w:rsidR="009E1E22" w:rsidSect="0096675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66751"/>
    <w:rsid w:val="00020574"/>
    <w:rsid w:val="00050A5D"/>
    <w:rsid w:val="00073972"/>
    <w:rsid w:val="00081888"/>
    <w:rsid w:val="00094949"/>
    <w:rsid w:val="000A2BA6"/>
    <w:rsid w:val="000A4DFF"/>
    <w:rsid w:val="000E4EE2"/>
    <w:rsid w:val="000F6F3F"/>
    <w:rsid w:val="00104880"/>
    <w:rsid w:val="00107014"/>
    <w:rsid w:val="00111A18"/>
    <w:rsid w:val="00125EC7"/>
    <w:rsid w:val="00127F53"/>
    <w:rsid w:val="00190B1D"/>
    <w:rsid w:val="00197553"/>
    <w:rsid w:val="001B2A44"/>
    <w:rsid w:val="001C57CD"/>
    <w:rsid w:val="001E46A5"/>
    <w:rsid w:val="00231857"/>
    <w:rsid w:val="00240476"/>
    <w:rsid w:val="00273443"/>
    <w:rsid w:val="00294116"/>
    <w:rsid w:val="002A488F"/>
    <w:rsid w:val="002B2F2F"/>
    <w:rsid w:val="002C21A5"/>
    <w:rsid w:val="002C3D57"/>
    <w:rsid w:val="002E2389"/>
    <w:rsid w:val="0032029D"/>
    <w:rsid w:val="0034663D"/>
    <w:rsid w:val="00380BF2"/>
    <w:rsid w:val="003935E6"/>
    <w:rsid w:val="003B37D4"/>
    <w:rsid w:val="003C31B9"/>
    <w:rsid w:val="003E6D94"/>
    <w:rsid w:val="003F4AD5"/>
    <w:rsid w:val="003F6E59"/>
    <w:rsid w:val="00411638"/>
    <w:rsid w:val="004426C1"/>
    <w:rsid w:val="0044734A"/>
    <w:rsid w:val="00466F6E"/>
    <w:rsid w:val="00474111"/>
    <w:rsid w:val="00485C28"/>
    <w:rsid w:val="004F5A14"/>
    <w:rsid w:val="00504D8F"/>
    <w:rsid w:val="00505D3E"/>
    <w:rsid w:val="00576F8E"/>
    <w:rsid w:val="0059261C"/>
    <w:rsid w:val="005B1580"/>
    <w:rsid w:val="005D16ED"/>
    <w:rsid w:val="005D33CF"/>
    <w:rsid w:val="005F4700"/>
    <w:rsid w:val="00624F6C"/>
    <w:rsid w:val="00646561"/>
    <w:rsid w:val="00653F55"/>
    <w:rsid w:val="006541B5"/>
    <w:rsid w:val="006677D1"/>
    <w:rsid w:val="0067509D"/>
    <w:rsid w:val="006B3F6C"/>
    <w:rsid w:val="006D5BCF"/>
    <w:rsid w:val="0070442F"/>
    <w:rsid w:val="00724C81"/>
    <w:rsid w:val="0073444F"/>
    <w:rsid w:val="00735229"/>
    <w:rsid w:val="00744D00"/>
    <w:rsid w:val="007C59C6"/>
    <w:rsid w:val="007E3A80"/>
    <w:rsid w:val="007F06F6"/>
    <w:rsid w:val="007F3DE2"/>
    <w:rsid w:val="007F6A9B"/>
    <w:rsid w:val="008079D8"/>
    <w:rsid w:val="00820D93"/>
    <w:rsid w:val="00835F37"/>
    <w:rsid w:val="00844756"/>
    <w:rsid w:val="00846120"/>
    <w:rsid w:val="00874966"/>
    <w:rsid w:val="008C5927"/>
    <w:rsid w:val="009014F8"/>
    <w:rsid w:val="00912092"/>
    <w:rsid w:val="00925B82"/>
    <w:rsid w:val="00925E13"/>
    <w:rsid w:val="00941F51"/>
    <w:rsid w:val="00966751"/>
    <w:rsid w:val="00970D2D"/>
    <w:rsid w:val="009716A6"/>
    <w:rsid w:val="00980641"/>
    <w:rsid w:val="009948D9"/>
    <w:rsid w:val="009B30FE"/>
    <w:rsid w:val="009E1E22"/>
    <w:rsid w:val="009F1DDC"/>
    <w:rsid w:val="00A00AAD"/>
    <w:rsid w:val="00A25584"/>
    <w:rsid w:val="00A95DF9"/>
    <w:rsid w:val="00AC1B01"/>
    <w:rsid w:val="00AE1D97"/>
    <w:rsid w:val="00B102BB"/>
    <w:rsid w:val="00B25E76"/>
    <w:rsid w:val="00B5389A"/>
    <w:rsid w:val="00B55A34"/>
    <w:rsid w:val="00B96483"/>
    <w:rsid w:val="00BD6CCB"/>
    <w:rsid w:val="00BE0FCE"/>
    <w:rsid w:val="00BE47DF"/>
    <w:rsid w:val="00BF0B95"/>
    <w:rsid w:val="00C2128A"/>
    <w:rsid w:val="00C52206"/>
    <w:rsid w:val="00C630A8"/>
    <w:rsid w:val="00CB5690"/>
    <w:rsid w:val="00CB6D74"/>
    <w:rsid w:val="00CC1371"/>
    <w:rsid w:val="00CD66B1"/>
    <w:rsid w:val="00CE6482"/>
    <w:rsid w:val="00CF1615"/>
    <w:rsid w:val="00CF3D72"/>
    <w:rsid w:val="00D02500"/>
    <w:rsid w:val="00D16F3E"/>
    <w:rsid w:val="00D459EB"/>
    <w:rsid w:val="00D503F9"/>
    <w:rsid w:val="00D63623"/>
    <w:rsid w:val="00D763C4"/>
    <w:rsid w:val="00D94DFF"/>
    <w:rsid w:val="00DC34C1"/>
    <w:rsid w:val="00E23632"/>
    <w:rsid w:val="00E26767"/>
    <w:rsid w:val="00E37514"/>
    <w:rsid w:val="00E53560"/>
    <w:rsid w:val="00E55CDE"/>
    <w:rsid w:val="00E82506"/>
    <w:rsid w:val="00E836D0"/>
    <w:rsid w:val="00E87CB2"/>
    <w:rsid w:val="00E96803"/>
    <w:rsid w:val="00EE6B7C"/>
    <w:rsid w:val="00F14726"/>
    <w:rsid w:val="00F534F8"/>
    <w:rsid w:val="00F62384"/>
    <w:rsid w:val="00F72F90"/>
    <w:rsid w:val="00F84A9D"/>
    <w:rsid w:val="00F96C1C"/>
    <w:rsid w:val="00FA3070"/>
    <w:rsid w:val="00FC5809"/>
    <w:rsid w:val="00FF5D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606,green,#39f"/>
      <o:colormenu v:ext="edit" strokecolor="none"/>
    </o:shapedefaults>
    <o:shapelayout v:ext="edit">
      <o:idmap v:ext="edit" data="1"/>
      <o:rules v:ext="edit">
        <o:r id="V:Rule4" type="arc" idref="#_x0000_s1321"/>
        <o:r id="V:Rule25" type="connector" idref="#_x0000_s1329"/>
        <o:r id="V:Rule26" type="connector" idref="#_x0000_s1317"/>
        <o:r id="V:Rule32" type="connector" idref="#_x0000_s1315"/>
        <o:r id="V:Rule34" type="connector" idref="#_x0000_s1316"/>
      </o:rules>
      <o:regrouptable v:ext="edit">
        <o:entry new="1" old="0"/>
        <o:entry new="2" old="0"/>
        <o:entry new="3" old="2"/>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67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751"/>
    <w:rPr>
      <w:rFonts w:ascii="Tahoma" w:hAnsi="Tahoma" w:cs="Tahoma"/>
      <w:sz w:val="16"/>
      <w:szCs w:val="16"/>
    </w:rPr>
  </w:style>
  <w:style w:type="paragraph" w:styleId="Sansinterligne">
    <w:name w:val="No Spacing"/>
    <w:uiPriority w:val="1"/>
    <w:qFormat/>
    <w:rsid w:val="00970D2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1</Pages>
  <Words>51</Words>
  <Characters>281</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berth25e</dc:creator>
  <cp:keywords/>
  <dc:description/>
  <cp:lastModifiedBy>berth25e</cp:lastModifiedBy>
  <cp:revision>19</cp:revision>
  <dcterms:created xsi:type="dcterms:W3CDTF">2015-06-16T08:41:00Z</dcterms:created>
  <dcterms:modified xsi:type="dcterms:W3CDTF">2015-06-17T13:07:00Z</dcterms:modified>
</cp:coreProperties>
</file>