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22" w:rsidRPr="00835F37" w:rsidRDefault="00AB764F" w:rsidP="00966751">
      <w:pPr>
        <w:jc w:val="both"/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eastAsia="fr-FR"/>
        </w:rPr>
        <w:pict>
          <v:rect id="_x0000_s1307" style="position:absolute;left:0;text-align:left;margin-left:4.5pt;margin-top:165.75pt;width:55.5pt;height:24pt;z-index:251969536" filled="f"/>
        </w:pict>
      </w:r>
      <w:r w:rsidR="009E1E22" w:rsidRPr="00835F37">
        <w:rPr>
          <w:b/>
          <w:color w:val="002060"/>
          <w:sz w:val="28"/>
          <w:szCs w:val="28"/>
        </w:rPr>
        <w:t>Dynamiques géographiques des aires continentales : l’Amérique, puissance du Nord, affirmation du Sud</w:t>
      </w:r>
    </w:p>
    <w:p w:rsidR="00966751" w:rsidRPr="00835F37" w:rsidRDefault="009E1E22" w:rsidP="00966751">
      <w:pPr>
        <w:jc w:val="both"/>
        <w:rPr>
          <w:b/>
          <w:color w:val="002060"/>
        </w:rPr>
      </w:pPr>
      <w:r w:rsidRPr="00835F37">
        <w:rPr>
          <w:b/>
          <w:color w:val="002060"/>
        </w:rPr>
        <w:t>LES DYNAMIQUES TERRITORIALES AUX ÉTATS-UNIS</w:t>
      </w:r>
      <w:r w:rsidR="00380BF2" w:rsidRPr="00835F37">
        <w:rPr>
          <w:b/>
          <w:color w:val="002060"/>
        </w:rPr>
        <w:t>. Quelles sont les dynamiques territoriales majeures aux États-Unis ?</w:t>
      </w:r>
    </w:p>
    <w:p w:rsidR="00380BF2" w:rsidRPr="00835F37" w:rsidRDefault="007704A7">
      <w:pPr>
        <w:rPr>
          <w:b/>
          <w:color w:val="002060"/>
        </w:rPr>
      </w:pPr>
      <w:r w:rsidRPr="007704A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9" type="#_x0000_t202" style="position:absolute;margin-left:139.5pt;margin-top:9.4pt;width:600pt;height:19.5pt;z-index:251952128" stroked="f">
            <v:textbox style="mso-next-textbox:#_x0000_s1289">
              <w:txbxContent>
                <w:p w:rsidR="00F72F90" w:rsidRPr="00F72F90" w:rsidRDefault="00F72F90">
                  <w:pPr>
                    <w:rPr>
                      <w:color w:val="002060"/>
                    </w:rPr>
                  </w:pPr>
                  <w:proofErr w:type="spellStart"/>
                  <w:r w:rsidRPr="00F72F90">
                    <w:rPr>
                      <w:i/>
                      <w:color w:val="002060"/>
                    </w:rPr>
                    <w:t>Frontland</w:t>
                  </w:r>
                  <w:proofErr w:type="spellEnd"/>
                  <w:r>
                    <w:rPr>
                      <w:color w:val="002060"/>
                    </w:rPr>
                    <w:t>. Principales régions clientes et fournisseurs des façades étatsuniennes, pourvoyeurs de main d’œuvre très qualifiée. </w:t>
                  </w:r>
                </w:p>
              </w:txbxContent>
            </v:textbox>
          </v:shape>
        </w:pict>
      </w:r>
      <w:r w:rsidRPr="007704A7">
        <w:rPr>
          <w:noProof/>
          <w:lang w:eastAsia="fr-FR"/>
        </w:rPr>
        <w:pict>
          <v:shape id="_x0000_s1279" type="#_x0000_t202" style="position:absolute;margin-left:-9.75pt;margin-top:13.15pt;width:48.75pt;height:23.55pt;z-index:251941888" filled="f" fillcolor="white [3212]" stroked="f">
            <v:textbox style="mso-next-textbox:#_x0000_s1279">
              <w:txbxContent>
                <w:p w:rsidR="00F72F90" w:rsidRPr="00970D2D" w:rsidRDefault="00F72F90" w:rsidP="00F72F90">
                  <w:pPr>
                    <w:pStyle w:val="Sansinterligne"/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 w:rsidRPr="00970D2D">
                    <w:rPr>
                      <w:rFonts w:ascii="Comic Sans MS" w:hAnsi="Comic Sans MS"/>
                      <w:b/>
                      <w:i/>
                      <w:color w:val="0070C0"/>
                    </w:rPr>
                    <w:t>ASIE</w:t>
                  </w:r>
                </w:p>
                <w:p w:rsidR="00F72F90" w:rsidRPr="0024666F" w:rsidRDefault="00F72F90" w:rsidP="00F72F90">
                  <w:pPr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</w:p>
              </w:txbxContent>
            </v:textbox>
          </v:shape>
        </w:pict>
      </w:r>
      <w:r w:rsidR="00380BF2" w:rsidRPr="00835F37">
        <w:rPr>
          <w:b/>
          <w:color w:val="002060"/>
        </w:rPr>
        <w:t>Nomenclature : </w:t>
      </w:r>
    </w:p>
    <w:p w:rsidR="003E6D94" w:rsidRDefault="007704A7">
      <w:r w:rsidRPr="007704A7">
        <w:rPr>
          <w:b/>
          <w:noProof/>
          <w:color w:val="002060"/>
          <w:lang w:eastAsia="fr-FR"/>
        </w:rPr>
        <w:pict>
          <v:shape id="_x0000_s1291" type="#_x0000_t202" style="position:absolute;margin-left:139.5pt;margin-top:22.2pt;width:600pt;height:19.5pt;z-index:251954176" stroked="f">
            <v:textbox style="mso-next-textbox:#_x0000_s1291">
              <w:txbxContent>
                <w:p w:rsidR="00F72F90" w:rsidRPr="00F72F90" w:rsidRDefault="00F72F90" w:rsidP="00F72F90">
                  <w:pPr>
                    <w:rPr>
                      <w:color w:val="002060"/>
                    </w:rPr>
                  </w:pPr>
                  <w:r w:rsidRPr="00F72F90">
                    <w:rPr>
                      <w:color w:val="002060"/>
                      <w:u w:val="single"/>
                    </w:rPr>
                    <w:t>Z</w:t>
                  </w:r>
                  <w:r>
                    <w:rPr>
                      <w:color w:val="002060"/>
                    </w:rPr>
                    <w:t xml:space="preserve">ones </w:t>
                  </w:r>
                  <w:r w:rsidRPr="00F72F90">
                    <w:rPr>
                      <w:color w:val="002060"/>
                      <w:u w:val="single"/>
                    </w:rPr>
                    <w:t>I</w:t>
                  </w:r>
                  <w:r>
                    <w:rPr>
                      <w:color w:val="002060"/>
                    </w:rPr>
                    <w:t>ndustrialo-</w:t>
                  </w:r>
                  <w:r w:rsidRPr="00F72F90">
                    <w:rPr>
                      <w:color w:val="002060"/>
                      <w:u w:val="single"/>
                    </w:rPr>
                    <w:t>p</w:t>
                  </w:r>
                  <w:r>
                    <w:rPr>
                      <w:color w:val="002060"/>
                    </w:rPr>
                    <w:t>ortuaires (ZIP) situées pourtant en dehors des principales aires métropolit</w:t>
                  </w:r>
                  <w:r w:rsidR="000A2BA6">
                    <w:rPr>
                      <w:color w:val="002060"/>
                    </w:rPr>
                    <w:t>aines</w:t>
                  </w:r>
                  <w:r>
                    <w:rPr>
                      <w:color w:val="002060"/>
                    </w:rPr>
                    <w:t>. </w:t>
                  </w:r>
                </w:p>
              </w:txbxContent>
            </v:textbox>
          </v:shape>
        </w:pict>
      </w:r>
      <w:r w:rsidRPr="007704A7">
        <w:rPr>
          <w:b/>
          <w:noProof/>
          <w:color w:val="002060"/>
          <w:lang w:eastAsia="fr-FR"/>
        </w:rPr>
        <w:pict>
          <v:shape id="_x0000_s1290" type="#_x0000_t202" style="position:absolute;margin-left:139.5pt;margin-top:3.45pt;width:600pt;height:19.5pt;z-index:251953152" stroked="f">
            <v:textbox style="mso-next-textbox:#_x0000_s1290">
              <w:txbxContent>
                <w:p w:rsidR="00F72F90" w:rsidRPr="00F72F90" w:rsidRDefault="00F72F90" w:rsidP="00F72F90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Océans, mers, fleuves et rivières majeurs, embouchures et deltas stratégiques.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1" type="#_x0000_t202" style="position:absolute;margin-left:-7.5pt;margin-top:23.7pt;width:103.5pt;height:24pt;z-index:251943936" filled="f" fillcolor="white [3212]" stroked="f">
            <v:textbox style="mso-next-textbox:#_x0000_s1281">
              <w:txbxContent>
                <w:p w:rsidR="00F72F90" w:rsidRPr="00F534F8" w:rsidRDefault="00F72F90" w:rsidP="00F72F90">
                  <w:pPr>
                    <w:rPr>
                      <w:rFonts w:ascii="Comic Sans MS" w:hAnsi="Comic Sans MS"/>
                      <w:b/>
                      <w:color w:val="0070C0"/>
                    </w:rPr>
                  </w:pPr>
                  <w:r w:rsidRPr="00F534F8">
                    <w:rPr>
                      <w:rFonts w:ascii="Comic Sans MS" w:hAnsi="Comic Sans MS"/>
                      <w:b/>
                      <w:color w:val="0070C0"/>
                    </w:rPr>
                    <w:t xml:space="preserve">South </w:t>
                  </w:r>
                  <w:proofErr w:type="spellStart"/>
                  <w:r w:rsidRPr="00F534F8">
                    <w:rPr>
                      <w:rFonts w:ascii="Comic Sans MS" w:hAnsi="Comic Sans MS"/>
                      <w:b/>
                      <w:color w:val="0070C0"/>
                    </w:rPr>
                    <w:t>Louisiana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80" type="#_x0000_t202" style="position:absolute;margin-left:-14.95pt;margin-top:3.45pt;width:121.45pt;height:32.25pt;z-index:251942912" filled="f" fillcolor="white [3212]" stroked="f">
            <v:textbox style="mso-next-textbox:#_x0000_s1280">
              <w:txbxContent>
                <w:p w:rsidR="00F72F90" w:rsidRPr="0024666F" w:rsidRDefault="00F72F90" w:rsidP="00F72F90">
                  <w:pPr>
                    <w:jc w:val="center"/>
                    <w:rPr>
                      <w:rFonts w:ascii="Comic Sans MS" w:hAnsi="Comic Sans MS"/>
                      <w:b/>
                      <w:i/>
                      <w:color w:val="0070C0"/>
                    </w:rPr>
                  </w:pPr>
                  <w:r>
                    <w:rPr>
                      <w:rFonts w:ascii="Comic Sans MS" w:hAnsi="Comic Sans MS"/>
                      <w:b/>
                      <w:i/>
                      <w:color w:val="0070C0"/>
                    </w:rPr>
                    <w:t>Golfe du Mex</w:t>
                  </w:r>
                  <w:r w:rsidRPr="0024666F">
                    <w:rPr>
                      <w:rFonts w:ascii="Comic Sans MS" w:hAnsi="Comic Sans MS"/>
                      <w:b/>
                      <w:i/>
                      <w:color w:val="0070C0"/>
                    </w:rPr>
                    <w:t>ique</w:t>
                  </w:r>
                </w:p>
              </w:txbxContent>
            </v:textbox>
          </v:shape>
        </w:pict>
      </w:r>
    </w:p>
    <w:p w:rsidR="00F72F90" w:rsidRDefault="007704A7">
      <w:pPr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288" type="#_x0000_t202" style="position:absolute;margin-left:-7.45pt;margin-top:20.75pt;width:83.25pt;height:24pt;z-index:251951104" filled="f" fillcolor="white [3212]" stroked="f">
            <v:textbox style="mso-next-textbox:#_x0000_s1288">
              <w:txbxContent>
                <w:p w:rsidR="00F72F90" w:rsidRPr="00846120" w:rsidRDefault="00F72F90" w:rsidP="00F72F90">
                  <w:pPr>
                    <w:rPr>
                      <w:rFonts w:ascii="Comic Sans MS" w:hAnsi="Comic Sans MS"/>
                      <w:b/>
                      <w:i/>
                      <w:color w:val="984806" w:themeColor="accent6" w:themeShade="80"/>
                    </w:rPr>
                  </w:pPr>
                  <w:r w:rsidRPr="00846120">
                    <w:rPr>
                      <w:rFonts w:ascii="Comic Sans MS" w:hAnsi="Comic Sans MS"/>
                      <w:b/>
                      <w:i/>
                      <w:color w:val="984806" w:themeColor="accent6" w:themeShade="80"/>
                    </w:rPr>
                    <w:t>Rocheuses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292" type="#_x0000_t202" style="position:absolute;margin-left:139.5pt;margin-top:16.25pt;width:600pt;height:36pt;z-index:251955200" stroked="f">
            <v:textbox style="mso-next-textbox:#_x0000_s1292">
              <w:txbxContent>
                <w:p w:rsidR="00F72F90" w:rsidRPr="00F72F90" w:rsidRDefault="00CC1371" w:rsidP="00104880">
                  <w:pPr>
                    <w:jc w:val="both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Principaux ensemble du relief explicatif de l’inégal</w:t>
                  </w:r>
                  <w:r w:rsidR="00104880">
                    <w:rPr>
                      <w:color w:val="002060"/>
                    </w:rPr>
                    <w:t>e</w:t>
                  </w:r>
                  <w:r>
                    <w:rPr>
                      <w:color w:val="002060"/>
                    </w:rPr>
                    <w:t xml:space="preserve"> répartition des hommes et des activités, encore pour la majorité localisées à l’Est</w:t>
                  </w:r>
                  <w:r w:rsidR="00104880">
                    <w:rPr>
                      <w:color w:val="002060"/>
                    </w:rPr>
                    <w:t xml:space="preserve"> du 100</w:t>
                  </w:r>
                  <w:r w:rsidR="00104880" w:rsidRPr="00104880">
                    <w:rPr>
                      <w:color w:val="002060"/>
                      <w:vertAlign w:val="superscript"/>
                    </w:rPr>
                    <w:t>e</w:t>
                  </w:r>
                  <w:r w:rsidR="00104880">
                    <w:rPr>
                      <w:color w:val="002060"/>
                    </w:rPr>
                    <w:t xml:space="preserve"> méridien</w:t>
                  </w:r>
                  <w:r w:rsidR="00F72F90">
                    <w:rPr>
                      <w:color w:val="002060"/>
                    </w:rPr>
                    <w:t>. </w:t>
                  </w:r>
                </w:p>
              </w:txbxContent>
            </v:textbox>
          </v:shape>
        </w:pict>
      </w:r>
    </w:p>
    <w:p w:rsidR="00F72F90" w:rsidRDefault="00F72F90">
      <w:pPr>
        <w:rPr>
          <w:b/>
          <w:color w:val="002060"/>
        </w:rPr>
      </w:pPr>
    </w:p>
    <w:p w:rsidR="00F72F90" w:rsidRDefault="007704A7">
      <w:pPr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group id="_x0000_s1298" style="position:absolute;margin-left:-8.25pt;margin-top:1.4pt;width:747.75pt;height:102.75pt;z-index:251961344" coordorigin="555,4515" coordsize="14955,2055">
            <v:shape id="_x0000_s1285" type="#_x0000_t202" style="position:absolute;left:705;top:4665;width:1350;height:480" filled="f" fillcolor="white [3212]" stroked="f" strokecolor="black [3213]">
              <v:textbox style="mso-next-textbox:#_x0000_s1285">
                <w:txbxContent>
                  <w:p w:rsidR="00F72F90" w:rsidRPr="00A76474" w:rsidRDefault="00F72F90" w:rsidP="00F72F90">
                    <w:pPr>
                      <w:rPr>
                        <w:rFonts w:ascii="Comic Sans MS" w:hAnsi="Comic Sans MS"/>
                        <w:b/>
                      </w:rPr>
                    </w:pPr>
                    <w:r w:rsidRPr="00A76474">
                      <w:rPr>
                        <w:rFonts w:ascii="Comic Sans MS" w:hAnsi="Comic Sans MS"/>
                        <w:b/>
                      </w:rPr>
                      <w:t>CANADA</w:t>
                    </w:r>
                  </w:p>
                </w:txbxContent>
              </v:textbox>
            </v:shape>
            <v:shape id="_x0000_s1286" type="#_x0000_t202" style="position:absolute;left:585;top:5760;width:1785;height:480" filled="f" fillcolor="white [3212]" stroked="f" strokecolor="black [3213]">
              <v:textbox style="mso-next-textbox:#_x0000_s1286">
                <w:txbxContent>
                  <w:p w:rsidR="00F72F90" w:rsidRPr="00BA4BF5" w:rsidRDefault="00F72F90" w:rsidP="00F72F90">
                    <w:pPr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BA4BF5">
                      <w:rPr>
                        <w:rFonts w:ascii="Comic Sans MS" w:hAnsi="Comic Sans MS"/>
                        <w:sz w:val="16"/>
                        <w:szCs w:val="16"/>
                      </w:rPr>
                      <w:t>CHIHUAHUA</w:t>
                    </w:r>
                  </w:p>
                </w:txbxContent>
              </v:textbox>
            </v:shape>
            <v:shape id="_x0000_s1287" type="#_x0000_t202" style="position:absolute;left:570;top:5325;width:1052;height:480" filled="f" fillcolor="white [3212]" stroked="f" strokecolor="black [3213]">
              <v:textbox style="mso-next-textbox:#_x0000_s1287">
                <w:txbxContent>
                  <w:p w:rsidR="00F72F90" w:rsidRPr="00A76474" w:rsidRDefault="00F72F90" w:rsidP="00F72F90">
                    <w:pPr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UTAH</w:t>
                    </w:r>
                  </w:p>
                </w:txbxContent>
              </v:textbox>
            </v:shape>
            <v:shape id="_x0000_s1293" type="#_x0000_t202" style="position:absolute;left:3510;top:4515;width:12000;height:810" stroked="f">
              <v:textbox style="mso-next-textbox:#_x0000_s1293">
                <w:txbxContent>
                  <w:p w:rsidR="000A2BA6" w:rsidRPr="00F72F90" w:rsidRDefault="000A2BA6" w:rsidP="000A2BA6">
                    <w:pPr>
                      <w:jc w:val="both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États riverains des États-Unis. Le Canada et le Mexique sont liés aux États-Unis par l’Accord de Libre Échange Nord Américain (ALÉNA) qui permet la libre circulation des biens et des capitaux. </w:t>
                    </w:r>
                  </w:p>
                </w:txbxContent>
              </v:textbox>
            </v:shape>
            <v:shape id="_x0000_s1294" type="#_x0000_t202" style="position:absolute;left:3510;top:5325;width:12000;height:390" stroked="f">
              <v:textbox style="mso-next-textbox:#_x0000_s1294">
                <w:txbxContent>
                  <w:p w:rsidR="000A2BA6" w:rsidRPr="000A2BA6" w:rsidRDefault="000A2BA6" w:rsidP="000A2BA6">
                    <w:pPr>
                      <w:rPr>
                        <w:color w:val="002060"/>
                      </w:rPr>
                    </w:pPr>
                    <w:r w:rsidRPr="000A2BA6">
                      <w:rPr>
                        <w:color w:val="002060"/>
                      </w:rPr>
                      <w:t xml:space="preserve">Quelques États </w:t>
                    </w:r>
                    <w:r>
                      <w:rPr>
                        <w:color w:val="002060"/>
                      </w:rPr>
                      <w:t xml:space="preserve">fédérés des États-Unis, </w:t>
                    </w:r>
                    <w:r w:rsidRPr="000A2BA6">
                      <w:rPr>
                        <w:color w:val="002060"/>
                      </w:rPr>
                      <w:t>parmi les plus dynamiques de la ceinture périphérique. </w:t>
                    </w:r>
                  </w:p>
                </w:txbxContent>
              </v:textbox>
            </v:shape>
            <v:shape id="_x0000_s1295" type="#_x0000_t202" style="position:absolute;left:3510;top:5715;width:12000;height:390" stroked="f">
              <v:textbox style="mso-next-textbox:#_x0000_s1295">
                <w:txbxContent>
                  <w:p w:rsidR="000A2BA6" w:rsidRPr="000A2BA6" w:rsidRDefault="000A2BA6" w:rsidP="000A2BA6">
                    <w:pPr>
                      <w:rPr>
                        <w:color w:val="002060"/>
                      </w:rPr>
                    </w:pPr>
                    <w:r w:rsidRPr="000A2BA6">
                      <w:rPr>
                        <w:color w:val="002060"/>
                      </w:rPr>
                      <w:t xml:space="preserve">Quelques États </w:t>
                    </w:r>
                    <w:r>
                      <w:rPr>
                        <w:color w:val="002060"/>
                      </w:rPr>
                      <w:t xml:space="preserve">fédérés du Mexique et Province du Canada, </w:t>
                    </w:r>
                    <w:r w:rsidRPr="000A2BA6">
                      <w:rPr>
                        <w:color w:val="002060"/>
                      </w:rPr>
                      <w:t>parmi les plus dynami</w:t>
                    </w:r>
                    <w:r>
                      <w:rPr>
                        <w:color w:val="002060"/>
                      </w:rPr>
                      <w:t>ques des régions frontalières</w:t>
                    </w:r>
                    <w:r w:rsidRPr="000A2BA6">
                      <w:rPr>
                        <w:color w:val="002060"/>
                      </w:rPr>
                      <w:t>. </w:t>
                    </w:r>
                  </w:p>
                </w:txbxContent>
              </v:textbox>
            </v:shape>
            <v:shape id="_x0000_s1297" type="#_x0000_t202" style="position:absolute;left:555;top:6090;width:3225;height:480" filled="f" fillcolor="white [3212]" stroked="f" strokecolor="black [3213]">
              <v:textbox style="mso-next-textbox:#_x0000_s1297">
                <w:txbxContent>
                  <w:p w:rsidR="00CC1371" w:rsidRPr="00D60D50" w:rsidRDefault="00CC1371" w:rsidP="00CC1371">
                    <w:pPr>
                      <w:rPr>
                        <w:rFonts w:ascii="Comic Sans MS" w:hAnsi="Comic Sans MS"/>
                        <w:b/>
                        <w:i/>
                        <w:u w:val="single"/>
                      </w:rPr>
                    </w:pPr>
                    <w:r w:rsidRPr="00D60D50">
                      <w:rPr>
                        <w:rFonts w:ascii="Comic Sans MS" w:hAnsi="Comic Sans MS"/>
                        <w:b/>
                        <w:i/>
                      </w:rPr>
                      <w:t xml:space="preserve">Main Street </w:t>
                    </w:r>
                    <w:proofErr w:type="spellStart"/>
                    <w:r w:rsidRPr="00D60D50">
                      <w:rPr>
                        <w:rFonts w:ascii="Comic Sans MS" w:hAnsi="Comic Sans MS"/>
                        <w:b/>
                        <w:i/>
                      </w:rPr>
                      <w:t>America</w:t>
                    </w:r>
                    <w:proofErr w:type="spellEnd"/>
                  </w:p>
                </w:txbxContent>
              </v:textbox>
            </v:shape>
          </v:group>
        </w:pict>
      </w:r>
    </w:p>
    <w:p w:rsidR="00F72F90" w:rsidRDefault="00F72F90">
      <w:pPr>
        <w:rPr>
          <w:b/>
          <w:color w:val="002060"/>
        </w:rPr>
      </w:pPr>
    </w:p>
    <w:p w:rsidR="00F72F90" w:rsidRDefault="00F72F90">
      <w:pPr>
        <w:rPr>
          <w:b/>
          <w:color w:val="002060"/>
        </w:rPr>
      </w:pPr>
    </w:p>
    <w:p w:rsidR="00F72F90" w:rsidRDefault="007704A7">
      <w:pPr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3" type="#_x0000_t202" style="position:absolute;margin-left:139.5pt;margin-top:24.05pt;width:600pt;height:34.5pt;z-index:251966464" stroked="f">
            <v:textbox style="mso-next-textbox:#_x0000_s1303">
              <w:txbxContent>
                <w:p w:rsidR="007E3A80" w:rsidRPr="00A25584" w:rsidRDefault="00A25584" w:rsidP="00A25584">
                  <w:pPr>
                    <w:jc w:val="both"/>
                    <w:rPr>
                      <w:color w:val="002060"/>
                    </w:rPr>
                  </w:pPr>
                  <w:r w:rsidRPr="00A25584">
                    <w:rPr>
                      <w:color w:val="002060"/>
                    </w:rPr>
                    <w:t>Cap</w:t>
                  </w:r>
                  <w:r>
                    <w:rPr>
                      <w:color w:val="002060"/>
                    </w:rPr>
                    <w:t>itales fédérales : elles concentrent les centres de commandement politiques, mais excepté Mexico ne sont pas des capitales économiques</w:t>
                  </w:r>
                  <w:r w:rsidR="007E3A80" w:rsidRPr="00A25584">
                    <w:rPr>
                      <w:color w:val="002060"/>
                    </w:rPr>
                    <w:t>. 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300" type="#_x0000_t202" style="position:absolute;margin-left:-15pt;margin-top:24.05pt;width:112.45pt;height:39.75pt;z-index:251963392" filled="f" fillcolor="white [3212]" stroked="f">
            <v:textbox style="mso-next-textbox:#_x0000_s1300">
              <w:txbxContent>
                <w:p w:rsidR="005D16ED" w:rsidRPr="0073444F" w:rsidRDefault="005D16ED" w:rsidP="005D16ED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  <w:r w:rsidRPr="0073444F">
                    <w:rPr>
                      <w:rFonts w:ascii="Comic Sans MS" w:hAnsi="Comic Sans MS"/>
                      <w:u w:val="single"/>
                    </w:rPr>
                    <w:t>Washington DC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299" type="#_x0000_t202" style="position:absolute;margin-left:139.5pt;margin-top:4.55pt;width:600pt;height:19.5pt;z-index:251962368" stroked="f">
            <v:textbox style="mso-next-textbox:#_x0000_s1299">
              <w:txbxContent>
                <w:p w:rsidR="005D16ED" w:rsidRPr="00F72F90" w:rsidRDefault="005D16ED" w:rsidP="005D16ED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Conurbations majeures de l’espace Nord américain, le plus souvent transfrontalières, elles se sont dynamisées avec l’ALÉNA. </w:t>
                  </w:r>
                </w:p>
              </w:txbxContent>
            </v:textbox>
          </v:shape>
        </w:pict>
      </w:r>
    </w:p>
    <w:p w:rsidR="00F72F90" w:rsidRDefault="00F72F90">
      <w:pPr>
        <w:rPr>
          <w:b/>
          <w:color w:val="002060"/>
        </w:rPr>
      </w:pPr>
    </w:p>
    <w:p w:rsidR="00F72F90" w:rsidRDefault="007704A7">
      <w:pPr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2" type="#_x0000_t202" style="position:absolute;margin-left:-7.5pt;margin-top:14.45pt;width:67.5pt;height:24pt;z-index:251965440" filled="f" fillcolor="white [3212]" stroked="f">
            <v:textbox style="mso-next-textbox:#_x0000_s1302">
              <w:txbxContent>
                <w:p w:rsidR="005D16ED" w:rsidRPr="00A76474" w:rsidRDefault="005D16ED" w:rsidP="005D16E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Chicago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304" type="#_x0000_t202" style="position:absolute;margin-left:139.5pt;margin-top:7.7pt;width:600pt;height:37.5pt;z-index:251967488" stroked="f">
            <v:textbox style="mso-next-textbox:#_x0000_s1304">
              <w:txbxContent>
                <w:p w:rsidR="00A25584" w:rsidRPr="00F72F90" w:rsidRDefault="00A25584" w:rsidP="00A25584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Principales aires métropolitaines nord-américaines : elles polarisent l’espace et organisent les flux : ce sont les territoires les plus attractifs de l’Amérique du Nord et rayonnent aux échelles régionales et continentales, parfois mondiales. </w:t>
                  </w:r>
                </w:p>
              </w:txbxContent>
            </v:textbox>
          </v:shape>
        </w:pict>
      </w:r>
    </w:p>
    <w:p w:rsidR="00F72F90" w:rsidRDefault="007704A7">
      <w:pPr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301" type="#_x0000_t202" style="position:absolute;margin-left:-7.4pt;margin-top:17.5pt;width:41.9pt;height:26.25pt;z-index:251964416" filled="f" fillcolor="white [3212]" stroked="f">
            <v:textbox style="mso-next-textbox:#_x0000_s1301">
              <w:txbxContent>
                <w:p w:rsidR="005D16ED" w:rsidRPr="00020574" w:rsidRDefault="005D16ED" w:rsidP="005D16ED">
                  <w:pPr>
                    <w:pStyle w:val="Sansinterligne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N.</w:t>
                  </w:r>
                  <w:r w:rsidRPr="00020574">
                    <w:rPr>
                      <w:rFonts w:ascii="Comic Sans MS" w:hAnsi="Comic Sans MS"/>
                    </w:rPr>
                    <w:t>Y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  <w:r>
        <w:rPr>
          <w:b/>
          <w:noProof/>
          <w:color w:val="002060"/>
          <w:lang w:eastAsia="fr-FR"/>
        </w:rPr>
        <w:pict>
          <v:shape id="_x0000_s1305" type="#_x0000_t202" style="position:absolute;margin-left:139.5pt;margin-top:19.75pt;width:600pt;height:19.5pt;z-index:251968512" stroked="f">
            <v:textbox style="mso-next-textbox:#_x0000_s1305">
              <w:txbxContent>
                <w:p w:rsidR="00A25584" w:rsidRPr="00F72F90" w:rsidRDefault="00A25584" w:rsidP="00A25584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Ville mondiale, hyper-centre de la Triade. </w:t>
                  </w:r>
                </w:p>
              </w:txbxContent>
            </v:textbox>
          </v:shape>
        </w:pict>
      </w:r>
    </w:p>
    <w:p w:rsidR="00F72F90" w:rsidRDefault="00F72F90">
      <w:pPr>
        <w:rPr>
          <w:b/>
          <w:color w:val="002060"/>
        </w:rPr>
      </w:pPr>
    </w:p>
    <w:p w:rsidR="00F72F90" w:rsidRDefault="00735229">
      <w:pPr>
        <w:rPr>
          <w:b/>
          <w:color w:val="002060"/>
        </w:rPr>
      </w:pPr>
      <w:r>
        <w:rPr>
          <w:b/>
          <w:color w:val="002060"/>
        </w:rPr>
        <w:t>Sigles et abréviations :</w:t>
      </w:r>
    </w:p>
    <w:p w:rsidR="00F72F90" w:rsidRDefault="00735229">
      <w:pPr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N.Y.</w:t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 w:rsidRPr="00735229">
        <w:rPr>
          <w:b/>
          <w:color w:val="002060"/>
        </w:rPr>
        <w:t>New York</w:t>
      </w:r>
    </w:p>
    <w:p w:rsidR="00F72F90" w:rsidRDefault="00735229">
      <w:pPr>
        <w:rPr>
          <w:b/>
          <w:color w:val="002060"/>
        </w:rPr>
      </w:pPr>
      <w:r w:rsidRPr="00735229">
        <w:rPr>
          <w:rFonts w:ascii="Comic Sans MS" w:hAnsi="Comic Sans MS"/>
          <w:b/>
          <w:color w:val="002060"/>
        </w:rPr>
        <w:t>IAA</w:t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>
        <w:rPr>
          <w:b/>
          <w:color w:val="002060"/>
        </w:rPr>
        <w:tab/>
      </w:r>
      <w:r w:rsidRPr="00735229">
        <w:rPr>
          <w:b/>
          <w:color w:val="002060"/>
          <w:u w:val="single"/>
        </w:rPr>
        <w:t>I</w:t>
      </w:r>
      <w:r w:rsidRPr="00735229">
        <w:rPr>
          <w:b/>
          <w:color w:val="002060"/>
        </w:rPr>
        <w:t xml:space="preserve">ndustries </w:t>
      </w:r>
      <w:r w:rsidRPr="00735229">
        <w:rPr>
          <w:b/>
          <w:color w:val="002060"/>
          <w:u w:val="single"/>
        </w:rPr>
        <w:t>A</w:t>
      </w:r>
      <w:r w:rsidRPr="00735229">
        <w:rPr>
          <w:b/>
          <w:color w:val="002060"/>
        </w:rPr>
        <w:t>gro</w:t>
      </w:r>
      <w:r w:rsidRPr="00735229">
        <w:rPr>
          <w:b/>
          <w:color w:val="002060"/>
          <w:u w:val="single"/>
        </w:rPr>
        <w:t>a</w:t>
      </w:r>
      <w:r w:rsidRPr="00735229">
        <w:rPr>
          <w:b/>
          <w:color w:val="002060"/>
        </w:rPr>
        <w:t>limentaires</w:t>
      </w:r>
    </w:p>
    <w:p w:rsidR="00F72F90" w:rsidRPr="00735229" w:rsidRDefault="00735229" w:rsidP="00735229">
      <w:pPr>
        <w:jc w:val="both"/>
        <w:rPr>
          <w:rFonts w:ascii="Comic Sans MS" w:hAnsi="Comic Sans MS"/>
          <w:b/>
          <w:color w:val="002060"/>
        </w:rPr>
      </w:pPr>
      <w:r>
        <w:rPr>
          <w:rFonts w:ascii="Comic Sans MS" w:hAnsi="Comic Sans MS"/>
          <w:b/>
          <w:color w:val="002060"/>
        </w:rPr>
        <w:t>ZIP</w:t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>
        <w:rPr>
          <w:rFonts w:ascii="Comic Sans MS" w:hAnsi="Comic Sans MS"/>
          <w:b/>
          <w:color w:val="002060"/>
        </w:rPr>
        <w:tab/>
      </w:r>
      <w:r w:rsidRPr="00735229">
        <w:rPr>
          <w:b/>
          <w:color w:val="002060"/>
          <w:u w:val="single"/>
        </w:rPr>
        <w:t>Z</w:t>
      </w:r>
      <w:r w:rsidRPr="00735229">
        <w:rPr>
          <w:b/>
          <w:color w:val="002060"/>
        </w:rPr>
        <w:t xml:space="preserve">ones </w:t>
      </w:r>
      <w:r w:rsidRPr="00735229">
        <w:rPr>
          <w:b/>
          <w:color w:val="002060"/>
          <w:u w:val="single"/>
        </w:rPr>
        <w:t>I</w:t>
      </w:r>
      <w:r w:rsidRPr="00735229">
        <w:rPr>
          <w:b/>
          <w:color w:val="002060"/>
        </w:rPr>
        <w:t>ndustrialo-</w:t>
      </w:r>
      <w:r w:rsidRPr="00735229">
        <w:rPr>
          <w:b/>
          <w:color w:val="002060"/>
          <w:u w:val="single"/>
        </w:rPr>
        <w:t>p</w:t>
      </w:r>
      <w:r w:rsidRPr="00735229">
        <w:rPr>
          <w:b/>
          <w:color w:val="002060"/>
        </w:rPr>
        <w:t>ortuaires</w:t>
      </w:r>
    </w:p>
    <w:p w:rsidR="00F72F90" w:rsidRDefault="00F72F90">
      <w:pPr>
        <w:rPr>
          <w:b/>
          <w:color w:val="002060"/>
        </w:rPr>
      </w:pPr>
    </w:p>
    <w:p w:rsidR="00F72F90" w:rsidRDefault="00F72F90">
      <w:pPr>
        <w:rPr>
          <w:b/>
          <w:color w:val="002060"/>
        </w:rPr>
      </w:pPr>
    </w:p>
    <w:sectPr w:rsidR="00F72F90" w:rsidSect="009667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66751"/>
    <w:rsid w:val="00020574"/>
    <w:rsid w:val="00023097"/>
    <w:rsid w:val="00050A5D"/>
    <w:rsid w:val="00081888"/>
    <w:rsid w:val="00094949"/>
    <w:rsid w:val="000A2BA6"/>
    <w:rsid w:val="000A4DFF"/>
    <w:rsid w:val="000E4EE2"/>
    <w:rsid w:val="000F6F3F"/>
    <w:rsid w:val="00104880"/>
    <w:rsid w:val="00107014"/>
    <w:rsid w:val="00111A18"/>
    <w:rsid w:val="00125EC7"/>
    <w:rsid w:val="00127F53"/>
    <w:rsid w:val="00190B1D"/>
    <w:rsid w:val="00197553"/>
    <w:rsid w:val="001B2A44"/>
    <w:rsid w:val="001C57CD"/>
    <w:rsid w:val="001E46A5"/>
    <w:rsid w:val="00231857"/>
    <w:rsid w:val="00240476"/>
    <w:rsid w:val="00273443"/>
    <w:rsid w:val="00294116"/>
    <w:rsid w:val="002A488F"/>
    <w:rsid w:val="002B2F2F"/>
    <w:rsid w:val="002C21A5"/>
    <w:rsid w:val="002C3D57"/>
    <w:rsid w:val="002E2389"/>
    <w:rsid w:val="0032029D"/>
    <w:rsid w:val="0034663D"/>
    <w:rsid w:val="00380BF2"/>
    <w:rsid w:val="003935E6"/>
    <w:rsid w:val="003B37D4"/>
    <w:rsid w:val="003C31B9"/>
    <w:rsid w:val="003E6D94"/>
    <w:rsid w:val="003F4AD5"/>
    <w:rsid w:val="003F6E59"/>
    <w:rsid w:val="00411638"/>
    <w:rsid w:val="004426C1"/>
    <w:rsid w:val="0044734A"/>
    <w:rsid w:val="00466F6E"/>
    <w:rsid w:val="00474111"/>
    <w:rsid w:val="00485C28"/>
    <w:rsid w:val="004F5A14"/>
    <w:rsid w:val="00504D8F"/>
    <w:rsid w:val="00505D3E"/>
    <w:rsid w:val="00576F8E"/>
    <w:rsid w:val="0059261C"/>
    <w:rsid w:val="005B1580"/>
    <w:rsid w:val="005D16ED"/>
    <w:rsid w:val="005D33CF"/>
    <w:rsid w:val="005F4700"/>
    <w:rsid w:val="00624F6C"/>
    <w:rsid w:val="00646561"/>
    <w:rsid w:val="00653F55"/>
    <w:rsid w:val="006541B5"/>
    <w:rsid w:val="006677D1"/>
    <w:rsid w:val="0067509D"/>
    <w:rsid w:val="006B3F6C"/>
    <w:rsid w:val="0070442F"/>
    <w:rsid w:val="00724C81"/>
    <w:rsid w:val="0073444F"/>
    <w:rsid w:val="00735229"/>
    <w:rsid w:val="00744D00"/>
    <w:rsid w:val="007704A7"/>
    <w:rsid w:val="007C59C6"/>
    <w:rsid w:val="007E3A80"/>
    <w:rsid w:val="007F06F6"/>
    <w:rsid w:val="007F3DE2"/>
    <w:rsid w:val="007F6A9B"/>
    <w:rsid w:val="008079D8"/>
    <w:rsid w:val="00820D93"/>
    <w:rsid w:val="00835F37"/>
    <w:rsid w:val="00844756"/>
    <w:rsid w:val="00846120"/>
    <w:rsid w:val="00874966"/>
    <w:rsid w:val="008C5927"/>
    <w:rsid w:val="009014F8"/>
    <w:rsid w:val="00912092"/>
    <w:rsid w:val="00925B82"/>
    <w:rsid w:val="00925E13"/>
    <w:rsid w:val="00941F51"/>
    <w:rsid w:val="00966751"/>
    <w:rsid w:val="00970D2D"/>
    <w:rsid w:val="009716A6"/>
    <w:rsid w:val="00980641"/>
    <w:rsid w:val="009948D9"/>
    <w:rsid w:val="009B30FE"/>
    <w:rsid w:val="009E1E22"/>
    <w:rsid w:val="009F1DDC"/>
    <w:rsid w:val="00A00AAD"/>
    <w:rsid w:val="00A1419C"/>
    <w:rsid w:val="00A25584"/>
    <w:rsid w:val="00A95DF9"/>
    <w:rsid w:val="00AB764F"/>
    <w:rsid w:val="00AC1B01"/>
    <w:rsid w:val="00AE1D97"/>
    <w:rsid w:val="00AE4F68"/>
    <w:rsid w:val="00B102BB"/>
    <w:rsid w:val="00B25E76"/>
    <w:rsid w:val="00B5389A"/>
    <w:rsid w:val="00B55A34"/>
    <w:rsid w:val="00B96483"/>
    <w:rsid w:val="00BD6CCB"/>
    <w:rsid w:val="00BE0FCE"/>
    <w:rsid w:val="00BE47DF"/>
    <w:rsid w:val="00BF0B95"/>
    <w:rsid w:val="00C2128A"/>
    <w:rsid w:val="00C52206"/>
    <w:rsid w:val="00C630A8"/>
    <w:rsid w:val="00CB5690"/>
    <w:rsid w:val="00CB6D74"/>
    <w:rsid w:val="00CC1371"/>
    <w:rsid w:val="00CD66B1"/>
    <w:rsid w:val="00CE6482"/>
    <w:rsid w:val="00CF1615"/>
    <w:rsid w:val="00CF3D72"/>
    <w:rsid w:val="00D02500"/>
    <w:rsid w:val="00D16F3E"/>
    <w:rsid w:val="00D459EB"/>
    <w:rsid w:val="00D503F9"/>
    <w:rsid w:val="00D63623"/>
    <w:rsid w:val="00D763C4"/>
    <w:rsid w:val="00D83A0F"/>
    <w:rsid w:val="00D94DFF"/>
    <w:rsid w:val="00DC34C1"/>
    <w:rsid w:val="00E23632"/>
    <w:rsid w:val="00E26767"/>
    <w:rsid w:val="00E37514"/>
    <w:rsid w:val="00E53560"/>
    <w:rsid w:val="00E55CDE"/>
    <w:rsid w:val="00E82506"/>
    <w:rsid w:val="00E87CB2"/>
    <w:rsid w:val="00E96803"/>
    <w:rsid w:val="00EE6B7C"/>
    <w:rsid w:val="00F14726"/>
    <w:rsid w:val="00F534F8"/>
    <w:rsid w:val="00F62384"/>
    <w:rsid w:val="00F72F90"/>
    <w:rsid w:val="00F84A9D"/>
    <w:rsid w:val="00F96C1C"/>
    <w:rsid w:val="00FA3070"/>
    <w:rsid w:val="00FC5809"/>
    <w:rsid w:val="00FF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606,green,#39f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7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70D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berth25e</dc:creator>
  <cp:keywords/>
  <dc:description/>
  <cp:lastModifiedBy>berth25e</cp:lastModifiedBy>
  <cp:revision>20</cp:revision>
  <dcterms:created xsi:type="dcterms:W3CDTF">2015-06-16T08:41:00Z</dcterms:created>
  <dcterms:modified xsi:type="dcterms:W3CDTF">2015-06-17T13:16:00Z</dcterms:modified>
</cp:coreProperties>
</file>