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0" w:rsidRDefault="00D56D98" w:rsidP="00D5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Schéma : Le soja, une chance pour le Brésil ?</w:t>
      </w:r>
    </w:p>
    <w:p w:rsidR="00D56D98" w:rsidRDefault="00D56D98" w:rsidP="00D56D98">
      <w:pPr>
        <w:jc w:val="both"/>
      </w:pPr>
      <w:r>
        <w:rPr>
          <w:noProof/>
        </w:rPr>
      </w:r>
      <w:r>
        <w:pict>
          <v:group id="_x0000_s1027" editas="canvas" style="width:756pt;height:450pt;mso-position-horizontal-relative:char;mso-position-vertical-relative:line" coordorigin="2599,96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599;top:964;width:72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399;top:3038;width:1886;height:259">
              <v:textbox>
                <w:txbxContent>
                  <w:p w:rsidR="00D56D98" w:rsidRPr="00D56D98" w:rsidRDefault="00D56D98" w:rsidP="006F5B63">
                    <w:pPr>
                      <w:jc w:val="center"/>
                      <w:rPr>
                        <w:b/>
                      </w:rPr>
                    </w:pPr>
                    <w:r w:rsidRPr="00D56D98">
                      <w:rPr>
                        <w:b/>
                      </w:rPr>
                      <w:t>Le soja, une chance pour le Brésil ?</w:t>
                    </w:r>
                  </w:p>
                </w:txbxContent>
              </v:textbox>
            </v:shape>
            <v:shape id="_x0000_s1029" type="#_x0000_t202" style="position:absolute;left:4256;top:3038;width:686;height:259">
              <v:textbox>
                <w:txbxContent>
                  <w:p w:rsidR="00D56D98" w:rsidRDefault="00D56D98" w:rsidP="006F5B63">
                    <w:r>
                      <w:t>CAUSES</w:t>
                    </w:r>
                  </w:p>
                </w:txbxContent>
              </v:textbox>
            </v:shape>
            <v:shape id="_x0000_s1030" type="#_x0000_t202" style="position:absolute;left:7628;top:3038;width:1086;height:259">
              <v:textbox>
                <w:txbxContent>
                  <w:p w:rsidR="00D56D98" w:rsidRDefault="00D56D98" w:rsidP="006F5B63">
                    <w:r>
                      <w:t>CONSEQUENCES</w:t>
                    </w:r>
                  </w:p>
                </w:txbxContent>
              </v:textbox>
            </v:shape>
            <v:shape id="_x0000_s1031" type="#_x0000_t202" style="position:absolute;left:5970;top:3556;width:742;height:260">
              <v:textbox>
                <w:txbxContent>
                  <w:p w:rsidR="00D56D98" w:rsidRDefault="00D56D98" w:rsidP="006F5B63">
                    <w:r>
                      <w:t>ACTEURS</w:t>
                    </w:r>
                  </w:p>
                </w:txbxContent>
              </v:textbox>
            </v:shape>
            <v:line id="_x0000_s1033" style="position:absolute;flip:x" from="4942,3124" to="5399,3124">
              <v:stroke endarrow="block"/>
            </v:line>
            <v:line id="_x0000_s1034" style="position:absolute" from="6313,3297" to="6313,3556">
              <v:stroke endarrow="block"/>
            </v:line>
            <v:line id="_x0000_s1035" style="position:absolute;flip:y" from="6313,2778" to="6313,3038">
              <v:stroke endarrow="block"/>
            </v:line>
            <v:line id="_x0000_s1036" style="position:absolute" from="7285,3124" to="7628,3124">
              <v:stroke endarrow="block"/>
            </v:line>
            <v:shape id="_x0000_s1039" type="#_x0000_t202" style="position:absolute;left:2828;top:1828;width:1484;height:950" stroked="f">
              <v:textbox>
                <w:txbxContent>
                  <w:p w:rsidR="00D56D98" w:rsidRDefault="00D56D98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Hausse des prix du soja</w:t>
                    </w:r>
                  </w:p>
                  <w:p w:rsidR="006F5B63" w:rsidRDefault="006F5B63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Crise de la vache folle</w:t>
                    </w:r>
                  </w:p>
                  <w:p w:rsidR="00D56D98" w:rsidRDefault="00D56D98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Interdiction des farines animales</w:t>
                    </w:r>
                  </w:p>
                </w:txbxContent>
              </v:textbox>
            </v:shape>
            <v:shape id="_x0000_s1040" type="#_x0000_t202" style="position:absolute;left:2713;top:2778;width:1657;height:261" stroked="f">
              <v:textbox>
                <w:txbxContent>
                  <w:p w:rsidR="006F5B63" w:rsidRPr="006F5B63" w:rsidRDefault="006F5B63" w:rsidP="006F5B63">
                    <w:pPr>
                      <w:rPr>
                        <w:i/>
                      </w:rPr>
                    </w:pPr>
                    <w:r w:rsidRPr="006F5B63">
                      <w:rPr>
                        <w:i/>
                      </w:rPr>
                      <w:t>Causes indirectes ou extérieures</w:t>
                    </w:r>
                  </w:p>
                </w:txbxContent>
              </v:textbox>
            </v:shape>
            <v:line id="_x0000_s1041" style="position:absolute;flip:x" from="3170,3124" to="4256,3124"/>
            <v:line id="_x0000_s1042" style="position:absolute;flip:x" from="3170,3210" to="4256,3211"/>
            <v:line id="_x0000_s1043" style="position:absolute;flip:y" from="3170,2951" to="3170,3124">
              <v:stroke endarrow="block"/>
            </v:line>
            <v:shape id="_x0000_s1044" type="#_x0000_t202" style="position:absolute;left:2770;top:3383;width:1658;height:261" stroked="f">
              <v:textbox>
                <w:txbxContent>
                  <w:p w:rsidR="006F5B63" w:rsidRPr="006F5B63" w:rsidRDefault="006F5B63" w:rsidP="006F5B63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Causes directes ou in</w:t>
                    </w:r>
                    <w:r w:rsidRPr="006F5B63">
                      <w:rPr>
                        <w:i/>
                      </w:rPr>
                      <w:t>térieures</w:t>
                    </w:r>
                  </w:p>
                </w:txbxContent>
              </v:textbox>
            </v:shape>
            <v:line id="_x0000_s1045" style="position:absolute" from="3170,3210" to="3171,3383">
              <v:stroke endarrow="block"/>
            </v:line>
            <v:shape id="_x0000_s1046" type="#_x0000_t202" style="position:absolute;left:2713;top:3556;width:1657;height:778" stroked="f">
              <v:textbox>
                <w:txbxContent>
                  <w:p w:rsidR="006F5B63" w:rsidRDefault="006F5B63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Vastes réserves de terrains agricoles</w:t>
                    </w:r>
                  </w:p>
                  <w:p w:rsidR="006F5B63" w:rsidRDefault="006F5B63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Faible densités humaines</w:t>
                    </w:r>
                  </w:p>
                  <w:p w:rsidR="006F5B63" w:rsidRDefault="006F5B63" w:rsidP="006F5B63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Climat favorable</w:t>
                    </w:r>
                  </w:p>
                  <w:p w:rsidR="006F5B63" w:rsidRDefault="006F5B63"/>
                </w:txbxContent>
              </v:textbox>
            </v:shape>
            <v:shape id="_x0000_s1047" type="#_x0000_t202" style="position:absolute;left:5113;top:3902;width:1829;height:778" stroked="f">
              <v:textbox>
                <w:txbxContent>
                  <w:p w:rsidR="006F5B63" w:rsidRDefault="006F5B63" w:rsidP="006F5B63">
                    <w:pPr>
                      <w:numPr>
                        <w:ilvl w:val="0"/>
                        <w:numId w:val="3"/>
                      </w:numPr>
                    </w:pPr>
                    <w:r>
                      <w:t>Les firmes multinationales</w:t>
                    </w:r>
                  </w:p>
                  <w:p w:rsidR="006F5B63" w:rsidRDefault="006F5B63" w:rsidP="006F5B63">
                    <w:pPr>
                      <w:numPr>
                        <w:ilvl w:val="0"/>
                        <w:numId w:val="3"/>
                      </w:numPr>
                    </w:pPr>
                    <w:r>
                      <w:t>Les grands propriétaires brésiliens</w:t>
                    </w:r>
                  </w:p>
                  <w:p w:rsidR="006F5B63" w:rsidRDefault="006F5B63" w:rsidP="006F5B63">
                    <w:pPr>
                      <w:numPr>
                        <w:ilvl w:val="0"/>
                        <w:numId w:val="3"/>
                      </w:numPr>
                    </w:pPr>
                    <w:r>
                      <w:t>L’agrobusiness</w:t>
                    </w:r>
                  </w:p>
                </w:txbxContent>
              </v:textbox>
            </v:shape>
            <v:shape id="_x0000_s1048" type="#_x0000_t202" style="position:absolute;left:7570;top:3383;width:2115;height:605" stroked="f">
              <v:textbox>
                <w:txbxContent>
                  <w:p w:rsidR="006F5B63" w:rsidRPr="006F5B63" w:rsidRDefault="006F5B63" w:rsidP="006F5B63">
                    <w:pPr>
                      <w:jc w:val="both"/>
                      <w:rPr>
                        <w:i/>
                      </w:rPr>
                    </w:pPr>
                    <w:r w:rsidRPr="006F5B63">
                      <w:rPr>
                        <w:i/>
                      </w:rPr>
                      <w:t>« […] Ce type de culture intégrée,  fortement exportatrice, à un impact économique et financier très important […] » (Lignes 12 à 14)</w:t>
                    </w:r>
                  </w:p>
                </w:txbxContent>
              </v:textbox>
            </v:shape>
            <v:shape id="_x0000_s1049" type="#_x0000_t202" style="position:absolute;left:7570;top:4074;width:2058;height:1124" stroked="f">
              <v:textbox>
                <w:txbxContent>
                  <w:p w:rsidR="006F5B63" w:rsidRDefault="00244E40" w:rsidP="006F5B63">
                    <w:pPr>
                      <w:numPr>
                        <w:ilvl w:val="0"/>
                        <w:numId w:val="4"/>
                      </w:numPr>
                    </w:pPr>
                    <w:r>
                      <w:t>33% des emplois de l’agriculture sont des emplois de l’agrobusiness</w:t>
                    </w:r>
                  </w:p>
                </w:txbxContent>
              </v:textbox>
            </v:shape>
            <v:shape id="_x0000_s1050" type="#_x0000_t202" style="position:absolute;left:5113;top:4852;width:2858;height:432" stroked="f">
              <v:textbox>
                <w:txbxContent>
                  <w:p w:rsidR="00244E40" w:rsidRDefault="00244E40" w:rsidP="00244E40">
                    <w:pPr>
                      <w:numPr>
                        <w:ilvl w:val="0"/>
                        <w:numId w:val="5"/>
                      </w:numPr>
                    </w:pPr>
                    <w:r>
                      <w:t>Investissements massifs des grandes institutions capitalistiques (firmes, latifundistes…)</w:t>
                    </w:r>
                  </w:p>
                </w:txbxContent>
              </v:textbox>
            </v:shape>
            <v:shape id="_x0000_s1032" type="#_x0000_t202" style="position:absolute;left:5970;top:4593;width:858;height:259">
              <v:textbox>
                <w:txbxContent>
                  <w:p w:rsidR="00D56D98" w:rsidRDefault="00D56D98" w:rsidP="006F5B63">
                    <w:r>
                      <w:t>MODALITES</w:t>
                    </w:r>
                  </w:p>
                </w:txbxContent>
              </v:textbox>
            </v:shape>
            <v:shape id="_x0000_s1051" type="#_x0000_t202" style="position:absolute;left:5913;top:2519;width:800;height:259">
              <v:textbox>
                <w:txbxContent>
                  <w:p w:rsidR="00D62AB4" w:rsidRDefault="00D62AB4">
                    <w:r>
                      <w:t>OBJECTIFS</w:t>
                    </w:r>
                  </w:p>
                </w:txbxContent>
              </v:textbox>
            </v:shape>
            <v:shape id="_x0000_s1052" type="#_x0000_t202" style="position:absolute;left:5228;top:1569;width:1771;height:864" stroked="f">
              <v:textbox>
                <w:txbxContent>
                  <w:p w:rsidR="00D62AB4" w:rsidRDefault="00D62AB4" w:rsidP="00D62AB4">
                    <w:pPr>
                      <w:numPr>
                        <w:ilvl w:val="0"/>
                        <w:numId w:val="6"/>
                      </w:numPr>
                      <w:jc w:val="both"/>
                    </w:pPr>
                    <w:r>
                      <w:t>Réduction de la dette extérieure</w:t>
                    </w:r>
                  </w:p>
                  <w:p w:rsidR="00D62AB4" w:rsidRDefault="00D62AB4" w:rsidP="00D62AB4">
                    <w:pPr>
                      <w:numPr>
                        <w:ilvl w:val="0"/>
                        <w:numId w:val="6"/>
                      </w:numPr>
                      <w:jc w:val="both"/>
                    </w:pPr>
                    <w:r>
                      <w:t>Amélioration de la balance commerciale</w:t>
                    </w:r>
                  </w:p>
                </w:txbxContent>
              </v:textbox>
            </v:shape>
            <v:shape id="_x0000_s1053" type="#_x0000_t202" style="position:absolute;left:7456;top:2346;width:2286;height:605" stroked="f">
              <v:textbox>
                <w:txbxContent>
                  <w:p w:rsidR="00D62AB4" w:rsidRDefault="00D62AB4" w:rsidP="00D62AB4">
                    <w:pPr>
                      <w:numPr>
                        <w:ilvl w:val="0"/>
                        <w:numId w:val="4"/>
                      </w:numPr>
                    </w:pPr>
                    <w:r>
                      <w:t>25 milliards de $US rapportés par les surplus agricoles</w:t>
                    </w:r>
                  </w:p>
                  <w:p w:rsidR="00D62AB4" w:rsidRDefault="00D62AB4"/>
                </w:txbxContent>
              </v:textbox>
            </v:shape>
            <v:line id="_x0000_s1054" style="position:absolute" from="7170,4334" to="7629,4335">
              <v:stroke endarrow="block"/>
            </v:line>
            <v:line id="_x0000_s1055" style="position:absolute" from="7685,4074" to="7685,4679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56" type="#_x0000_t88" style="position:absolute;left:6885;top:3902;width:114;height:864"/>
            <v:shape id="_x0000_s1057" type="#_x0000_t88" style="position:absolute;left:6999;top:1482;width:57;height:864"/>
            <v:line id="_x0000_s1058" style="position:absolute" from="7228,1914" to="8599,1914"/>
            <v:line id="_x0000_s1059" style="position:absolute" from="8599,1914" to="8599,2346">
              <v:stroke endarrow="block"/>
            </v:line>
            <w10:anchorlock/>
          </v:group>
        </w:pict>
      </w:r>
    </w:p>
    <w:p w:rsidR="00D56D98" w:rsidRDefault="00D56D98" w:rsidP="00D56D98">
      <w:pPr>
        <w:jc w:val="both"/>
      </w:pPr>
      <w:r w:rsidRPr="00D56D98">
        <w:rPr>
          <w:b/>
        </w:rPr>
        <w:t>S</w:t>
      </w:r>
      <w:r w:rsidRPr="00D56D98">
        <w:rPr>
          <w:b/>
          <w:sz w:val="20"/>
          <w:szCs w:val="20"/>
        </w:rPr>
        <w:t>OURCES</w:t>
      </w:r>
      <w:r w:rsidRPr="00D56D98">
        <w:rPr>
          <w:b/>
        </w:rPr>
        <w:t> :</w:t>
      </w:r>
      <w:r>
        <w:t> T</w:t>
      </w:r>
      <w:r w:rsidRPr="00D56D98">
        <w:rPr>
          <w:sz w:val="20"/>
          <w:szCs w:val="20"/>
        </w:rPr>
        <w:t>HERY</w:t>
      </w:r>
      <w:r>
        <w:t xml:space="preserve"> (Hervé), </w:t>
      </w:r>
      <w:r w:rsidRPr="00D56D98">
        <w:rPr>
          <w:i/>
        </w:rPr>
        <w:t>Le Brésil, changement de cap ?</w:t>
      </w:r>
      <w:r>
        <w:t> </w:t>
      </w:r>
      <w:proofErr w:type="gramStart"/>
      <w:r w:rsidRPr="00D56D98">
        <w:rPr>
          <w:i/>
        </w:rPr>
        <w:t>in</w:t>
      </w:r>
      <w:proofErr w:type="gramEnd"/>
      <w:r>
        <w:t xml:space="preserve"> 2005 La Documentation photographique, Documentation française. </w:t>
      </w:r>
    </w:p>
    <w:sectPr w:rsidR="00D56D98" w:rsidSect="00D56D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86D"/>
    <w:multiLevelType w:val="hybridMultilevel"/>
    <w:tmpl w:val="D0FAC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E90400"/>
    <w:multiLevelType w:val="hybridMultilevel"/>
    <w:tmpl w:val="650638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E35E0"/>
    <w:multiLevelType w:val="hybridMultilevel"/>
    <w:tmpl w:val="3894EE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435BB"/>
    <w:multiLevelType w:val="hybridMultilevel"/>
    <w:tmpl w:val="0C9C00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974D6"/>
    <w:multiLevelType w:val="hybridMultilevel"/>
    <w:tmpl w:val="F9249E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23341"/>
    <w:multiLevelType w:val="hybridMultilevel"/>
    <w:tmpl w:val="1BA851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6D98"/>
    <w:rsid w:val="000D2412"/>
    <w:rsid w:val="00244E40"/>
    <w:rsid w:val="004B02E2"/>
    <w:rsid w:val="006F5B63"/>
    <w:rsid w:val="00713E96"/>
    <w:rsid w:val="00AD300D"/>
    <w:rsid w:val="00B50A40"/>
    <w:rsid w:val="00D56D98"/>
    <w:rsid w:val="00D62AB4"/>
    <w:rsid w:val="00DA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Schéma : Le soja, une chance pour le Brésil </vt:lpstr>
    </vt:vector>
  </TitlesOfParts>
  <Company>Lycée Jean Renoir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: Le soja, une chance pour le Brésil</dc:title>
  <dc:creator>BERTHO</dc:creator>
  <cp:lastModifiedBy>Secondaire</cp:lastModifiedBy>
  <cp:revision>2</cp:revision>
  <dcterms:created xsi:type="dcterms:W3CDTF">2012-06-25T21:58:00Z</dcterms:created>
  <dcterms:modified xsi:type="dcterms:W3CDTF">2012-06-25T21:58:00Z</dcterms:modified>
</cp:coreProperties>
</file>