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39" w:rsidRDefault="00C43539" w:rsidP="00C43539">
      <w:pPr>
        <w:jc w:val="right"/>
        <w:rPr>
          <w:sz w:val="20"/>
          <w:szCs w:val="20"/>
        </w:rPr>
      </w:pPr>
      <w:r>
        <w:rPr>
          <w:sz w:val="20"/>
          <w:szCs w:val="20"/>
        </w:rPr>
        <w:t xml:space="preserve">Lycée </w:t>
      </w:r>
      <w:smartTag w:uri="urn:schemas-microsoft-com:office:smarttags" w:element="PersonName">
        <w:smartTagPr>
          <w:attr w:name="ProductID" w:val="La Fontaine"/>
        </w:smartTagPr>
        <w:r>
          <w:rPr>
            <w:sz w:val="20"/>
            <w:szCs w:val="20"/>
          </w:rPr>
          <w:t>La Fontaine</w:t>
        </w:r>
      </w:smartTag>
      <w:r>
        <w:rPr>
          <w:sz w:val="20"/>
          <w:szCs w:val="20"/>
        </w:rPr>
        <w:t>, Niamey, NIGER, année scolaire 2010 – 2011</w:t>
      </w:r>
    </w:p>
    <w:p w:rsidR="00C43539" w:rsidRDefault="00C43539" w:rsidP="00C43539">
      <w:pPr>
        <w:jc w:val="center"/>
      </w:pPr>
      <w:r>
        <w:t>Les principales statistiques du programme d’Histoire – Géographie</w:t>
      </w:r>
    </w:p>
    <w:p w:rsidR="00C43539" w:rsidRDefault="00C43539" w:rsidP="00C43539">
      <w:pPr>
        <w:jc w:val="center"/>
        <w:rPr>
          <w:b/>
        </w:rPr>
      </w:pPr>
      <w:r w:rsidRPr="0086560B">
        <w:rPr>
          <w:b/>
        </w:rPr>
        <w:t>1. Les IDH remarquables</w:t>
      </w:r>
    </w:p>
    <w:p w:rsidR="00452F50" w:rsidRDefault="00452F50" w:rsidP="00C43539">
      <w:pPr>
        <w:jc w:val="center"/>
        <w:rPr>
          <w:b/>
        </w:rPr>
      </w:pPr>
    </w:p>
    <w:p w:rsidR="00452F50" w:rsidRPr="0086560B" w:rsidRDefault="00452F50" w:rsidP="00C43539">
      <w:pPr>
        <w:jc w:val="center"/>
        <w:rPr>
          <w:b/>
        </w:rPr>
      </w:pPr>
      <w:r>
        <w:rPr>
          <w:b/>
        </w:rPr>
        <w:t>1.1 Les valeurs remarquables de l’IDH comme mesure du développement</w:t>
      </w:r>
    </w:p>
    <w:p w:rsidR="00C43539" w:rsidRDefault="00C43539" w:rsidP="00C43539">
      <w:pPr>
        <w:jc w:val="both"/>
      </w:pPr>
    </w:p>
    <w:p w:rsidR="00C43539" w:rsidRDefault="00C43539" w:rsidP="00C43539">
      <w:pPr>
        <w:jc w:val="both"/>
      </w:pPr>
      <w:r>
        <w:t>L’Indice de Développement Humain (IDH) élaboré par l’ONU dans les années quatre vingt dix mesure le développement humain dans 187 pays environ. </w:t>
      </w:r>
    </w:p>
    <w:p w:rsidR="00C43539" w:rsidRDefault="00C43539" w:rsidP="00C43539">
      <w:pPr>
        <w:jc w:val="both"/>
      </w:pPr>
    </w:p>
    <w:p w:rsidR="00C43539" w:rsidRDefault="00C43539" w:rsidP="00C43539">
      <w:pPr>
        <w:jc w:val="both"/>
      </w:pPr>
      <w:r>
        <w:t xml:space="preserve">La </w:t>
      </w:r>
      <w:r w:rsidRPr="0086560B">
        <w:rPr>
          <w:b/>
        </w:rPr>
        <w:t>médiane</w:t>
      </w:r>
      <w:r>
        <w:t xml:space="preserve"> c'est-à-dire l’indice séparant en deux parts égales les pays référencés est de 0,741 c'est-à-dire que la moitié des pays du monde a un IDH égal ou supérieur à </w:t>
      </w:r>
      <w:r w:rsidRPr="0086560B">
        <w:rPr>
          <w:b/>
        </w:rPr>
        <w:t>0,741</w:t>
      </w:r>
      <w:r>
        <w:t>. </w:t>
      </w:r>
    </w:p>
    <w:p w:rsidR="00C43539" w:rsidRDefault="00C43539" w:rsidP="00C43539">
      <w:pPr>
        <w:jc w:val="both"/>
      </w:pPr>
    </w:p>
    <w:p w:rsidR="00C43539" w:rsidRDefault="00C43539" w:rsidP="00C43539">
      <w:pPr>
        <w:jc w:val="both"/>
      </w:pPr>
      <w:r>
        <w:t xml:space="preserve">La </w:t>
      </w:r>
      <w:r w:rsidRPr="00B33D03">
        <w:rPr>
          <w:b/>
        </w:rPr>
        <w:t>moyenne</w:t>
      </w:r>
      <w:r>
        <w:t xml:space="preserve"> mondiale est de </w:t>
      </w:r>
      <w:r w:rsidRPr="00B33D03">
        <w:rPr>
          <w:b/>
        </w:rPr>
        <w:t>0,</w:t>
      </w:r>
      <w:r>
        <w:rPr>
          <w:b/>
        </w:rPr>
        <w:t xml:space="preserve">689 </w:t>
      </w:r>
      <w:r w:rsidRPr="00CE3A50">
        <w:t>(+0,007 entre 2009 et 2011)</w:t>
      </w:r>
    </w:p>
    <w:p w:rsidR="00C43539" w:rsidRDefault="00C43539" w:rsidP="00C43539">
      <w:pPr>
        <w:jc w:val="both"/>
      </w:pPr>
    </w:p>
    <w:p w:rsidR="00C43539" w:rsidRDefault="00C43539" w:rsidP="00C43539">
      <w:pPr>
        <w:jc w:val="both"/>
      </w:pPr>
      <w:r>
        <w:t xml:space="preserve">Les </w:t>
      </w:r>
      <w:r>
        <w:rPr>
          <w:b/>
        </w:rPr>
        <w:t>18</w:t>
      </w:r>
      <w:r w:rsidRPr="0086560B">
        <w:rPr>
          <w:b/>
        </w:rPr>
        <w:t xml:space="preserve"> pays les moins développés</w:t>
      </w:r>
      <w:r>
        <w:t xml:space="preserve"> (1</w:t>
      </w:r>
      <w:r w:rsidRPr="0086560B">
        <w:rPr>
          <w:vertAlign w:val="superscript"/>
        </w:rPr>
        <w:t>er</w:t>
      </w:r>
      <w:r>
        <w:t xml:space="preserve"> décile) ont un IDH inférieur à </w:t>
      </w:r>
      <w:r w:rsidRPr="0086560B">
        <w:rPr>
          <w:b/>
        </w:rPr>
        <w:t>0,4</w:t>
      </w:r>
      <w:r>
        <w:rPr>
          <w:b/>
        </w:rPr>
        <w:t>00</w:t>
      </w:r>
    </w:p>
    <w:p w:rsidR="00C43539" w:rsidRDefault="00C43539" w:rsidP="00C43539">
      <w:pPr>
        <w:jc w:val="both"/>
      </w:pPr>
    </w:p>
    <w:p w:rsidR="00C43539" w:rsidRDefault="00C43539" w:rsidP="00C43539">
      <w:pPr>
        <w:jc w:val="both"/>
      </w:pPr>
      <w:r>
        <w:t xml:space="preserve">Les 18 pays </w:t>
      </w:r>
      <w:r w:rsidRPr="0086560B">
        <w:rPr>
          <w:b/>
        </w:rPr>
        <w:t>les plus</w:t>
      </w:r>
      <w:r>
        <w:t xml:space="preserve"> développés (9</w:t>
      </w:r>
      <w:r w:rsidRPr="0086560B">
        <w:rPr>
          <w:vertAlign w:val="superscript"/>
        </w:rPr>
        <w:t>ème</w:t>
      </w:r>
      <w:r>
        <w:t xml:space="preserve"> décile) ont un IDH supérieur à </w:t>
      </w:r>
      <w:r w:rsidRPr="0086560B">
        <w:rPr>
          <w:b/>
        </w:rPr>
        <w:t>0,</w:t>
      </w:r>
      <w:r w:rsidR="006B5BDF">
        <w:rPr>
          <w:b/>
        </w:rPr>
        <w:t>895 (Autriche</w:t>
      </w:r>
      <w:r>
        <w:rPr>
          <w:b/>
        </w:rPr>
        <w:t>, 18</w:t>
      </w:r>
      <w:r w:rsidRPr="003E7122">
        <w:rPr>
          <w:b/>
          <w:vertAlign w:val="superscript"/>
        </w:rPr>
        <w:t>e</w:t>
      </w:r>
      <w:r>
        <w:rPr>
          <w:b/>
        </w:rPr>
        <w:t xml:space="preserve"> rang en 2011)</w:t>
      </w:r>
    </w:p>
    <w:p w:rsidR="00C43539" w:rsidRDefault="00C43539" w:rsidP="00C43539">
      <w:pPr>
        <w:jc w:val="both"/>
      </w:pPr>
    </w:p>
    <w:p w:rsidR="00C43539" w:rsidRDefault="00C43539" w:rsidP="00C43539">
      <w:pPr>
        <w:jc w:val="both"/>
      </w:pPr>
      <w:r>
        <w:t xml:space="preserve">L’IDH </w:t>
      </w:r>
      <w:r w:rsidRPr="0086560B">
        <w:rPr>
          <w:b/>
        </w:rPr>
        <w:t>le plus</w:t>
      </w:r>
      <w:r w:rsidR="00313F97">
        <w:t xml:space="preserve"> élevé est celui de la N</w:t>
      </w:r>
      <w:r w:rsidR="00313F97" w:rsidRPr="00313F97">
        <w:rPr>
          <w:sz w:val="20"/>
          <w:szCs w:val="20"/>
        </w:rPr>
        <w:t>ORVÈGE</w:t>
      </w:r>
      <w:r>
        <w:t xml:space="preserve"> à </w:t>
      </w:r>
      <w:r w:rsidRPr="0086560B">
        <w:rPr>
          <w:b/>
        </w:rPr>
        <w:t>0,9</w:t>
      </w:r>
      <w:r w:rsidR="006B5BDF">
        <w:rPr>
          <w:b/>
        </w:rPr>
        <w:t>55</w:t>
      </w:r>
    </w:p>
    <w:p w:rsidR="00C43539" w:rsidRDefault="00C43539" w:rsidP="00C43539">
      <w:pPr>
        <w:jc w:val="both"/>
      </w:pPr>
    </w:p>
    <w:p w:rsidR="00C43539" w:rsidRDefault="00C43539" w:rsidP="00C43539">
      <w:pPr>
        <w:jc w:val="both"/>
      </w:pPr>
      <w:r>
        <w:t xml:space="preserve">L’IDH </w:t>
      </w:r>
      <w:r w:rsidRPr="0086560B">
        <w:rPr>
          <w:b/>
        </w:rPr>
        <w:t>le moins</w:t>
      </w:r>
      <w:r w:rsidR="006B5BDF">
        <w:t xml:space="preserve"> élevé est celui de la R</w:t>
      </w:r>
      <w:r w:rsidR="006B5BDF" w:rsidRPr="006B5BDF">
        <w:rPr>
          <w:sz w:val="20"/>
          <w:szCs w:val="20"/>
        </w:rPr>
        <w:t>ÉPUBLIQUE DU</w:t>
      </w:r>
      <w:r w:rsidR="006B5BDF">
        <w:t xml:space="preserve"> N</w:t>
      </w:r>
      <w:r w:rsidR="006B5BDF" w:rsidRPr="006B5BDF">
        <w:rPr>
          <w:sz w:val="20"/>
          <w:szCs w:val="20"/>
        </w:rPr>
        <w:t>IGER</w:t>
      </w:r>
      <w:r>
        <w:t xml:space="preserve"> à </w:t>
      </w:r>
      <w:r w:rsidRPr="0086560B">
        <w:rPr>
          <w:b/>
        </w:rPr>
        <w:t>0,</w:t>
      </w:r>
      <w:r w:rsidR="00452F50">
        <w:rPr>
          <w:b/>
        </w:rPr>
        <w:t>304</w:t>
      </w:r>
      <w:r>
        <w:rPr>
          <w:b/>
        </w:rPr>
        <w:t xml:space="preserve"> </w:t>
      </w:r>
      <w:r w:rsidRPr="0032531D">
        <w:t>(187</w:t>
      </w:r>
      <w:r w:rsidRPr="0032531D">
        <w:rPr>
          <w:vertAlign w:val="superscript"/>
        </w:rPr>
        <w:t>e</w:t>
      </w:r>
      <w:r w:rsidRPr="0032531D">
        <w:t>)</w:t>
      </w:r>
    </w:p>
    <w:p w:rsidR="00C43539" w:rsidRDefault="00C43539" w:rsidP="00C43539">
      <w:pPr>
        <w:jc w:val="both"/>
      </w:pPr>
    </w:p>
    <w:p w:rsidR="00C43539" w:rsidRDefault="00C43539" w:rsidP="00C43539">
      <w:pPr>
        <w:jc w:val="both"/>
      </w:pPr>
    </w:p>
    <w:tbl>
      <w:tblPr>
        <w:tblStyle w:val="Grilledutableau"/>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68"/>
        <w:gridCol w:w="2305"/>
        <w:gridCol w:w="2440"/>
        <w:gridCol w:w="2359"/>
      </w:tblGrid>
      <w:tr w:rsidR="006B5BDF" w:rsidRPr="003A253A" w:rsidTr="006B5BDF">
        <w:tc>
          <w:tcPr>
            <w:tcW w:w="1768" w:type="dxa"/>
          </w:tcPr>
          <w:p w:rsidR="006B5BDF" w:rsidRPr="003A253A" w:rsidRDefault="006B5BDF" w:rsidP="00127394">
            <w:pPr>
              <w:jc w:val="center"/>
              <w:rPr>
                <w:b/>
              </w:rPr>
            </w:pPr>
            <w:r w:rsidRPr="003A253A">
              <w:rPr>
                <w:b/>
              </w:rPr>
              <w:t>Rang</w:t>
            </w:r>
            <w:r>
              <w:rPr>
                <w:b/>
              </w:rPr>
              <w:t xml:space="preserve"> (2011)</w:t>
            </w:r>
          </w:p>
        </w:tc>
        <w:tc>
          <w:tcPr>
            <w:tcW w:w="2305" w:type="dxa"/>
          </w:tcPr>
          <w:p w:rsidR="006B5BDF" w:rsidRPr="003A253A" w:rsidRDefault="006B5BDF" w:rsidP="00127394">
            <w:pPr>
              <w:jc w:val="center"/>
              <w:rPr>
                <w:b/>
              </w:rPr>
            </w:pPr>
            <w:r w:rsidRPr="003A253A">
              <w:rPr>
                <w:b/>
              </w:rPr>
              <w:t>Pays</w:t>
            </w:r>
          </w:p>
        </w:tc>
        <w:tc>
          <w:tcPr>
            <w:tcW w:w="2440" w:type="dxa"/>
          </w:tcPr>
          <w:p w:rsidR="006B5BDF" w:rsidRPr="003A253A" w:rsidRDefault="006B5BDF" w:rsidP="00127394">
            <w:pPr>
              <w:jc w:val="center"/>
              <w:rPr>
                <w:b/>
              </w:rPr>
            </w:pPr>
            <w:r>
              <w:rPr>
                <w:b/>
              </w:rPr>
              <w:t>IDH Valeur en 2011</w:t>
            </w:r>
          </w:p>
        </w:tc>
        <w:tc>
          <w:tcPr>
            <w:tcW w:w="2359" w:type="dxa"/>
          </w:tcPr>
          <w:p w:rsidR="006B5BDF" w:rsidRDefault="006B5BDF" w:rsidP="00127394">
            <w:pPr>
              <w:jc w:val="center"/>
              <w:rPr>
                <w:b/>
              </w:rPr>
            </w:pPr>
            <w:r>
              <w:rPr>
                <w:b/>
              </w:rPr>
              <w:t>IDH Valeur en 2012</w:t>
            </w:r>
          </w:p>
        </w:tc>
      </w:tr>
      <w:tr w:rsidR="006B5BDF" w:rsidTr="006B5BDF">
        <w:tc>
          <w:tcPr>
            <w:tcW w:w="1768" w:type="dxa"/>
          </w:tcPr>
          <w:p w:rsidR="006B5BDF" w:rsidRDefault="006B5BDF" w:rsidP="00127394">
            <w:pPr>
              <w:jc w:val="center"/>
            </w:pPr>
            <w:r>
              <w:t>1er</w:t>
            </w:r>
          </w:p>
        </w:tc>
        <w:tc>
          <w:tcPr>
            <w:tcW w:w="2305" w:type="dxa"/>
          </w:tcPr>
          <w:p w:rsidR="006B5BDF" w:rsidRDefault="006B5BDF" w:rsidP="00127394">
            <w:pPr>
              <w:jc w:val="center"/>
            </w:pPr>
            <w:r>
              <w:t>N</w:t>
            </w:r>
            <w:r w:rsidRPr="00C43539">
              <w:rPr>
                <w:sz w:val="20"/>
                <w:szCs w:val="20"/>
              </w:rPr>
              <w:t>ORVÈGE</w:t>
            </w:r>
          </w:p>
        </w:tc>
        <w:tc>
          <w:tcPr>
            <w:tcW w:w="2440" w:type="dxa"/>
          </w:tcPr>
          <w:p w:rsidR="006B5BDF" w:rsidRDefault="006B5BDF" w:rsidP="00127394">
            <w:pPr>
              <w:jc w:val="center"/>
            </w:pPr>
            <w:r>
              <w:t>0,943</w:t>
            </w:r>
          </w:p>
        </w:tc>
        <w:tc>
          <w:tcPr>
            <w:tcW w:w="2359" w:type="dxa"/>
          </w:tcPr>
          <w:p w:rsidR="006B5BDF" w:rsidRDefault="006B5BDF" w:rsidP="00127394">
            <w:pPr>
              <w:jc w:val="center"/>
            </w:pPr>
            <w:r>
              <w:t>(1</w:t>
            </w:r>
            <w:r w:rsidRPr="006B5BDF">
              <w:rPr>
                <w:vertAlign w:val="superscript"/>
              </w:rPr>
              <w:t>er</w:t>
            </w:r>
            <w:r>
              <w:t>) 0,955</w:t>
            </w:r>
          </w:p>
        </w:tc>
      </w:tr>
      <w:tr w:rsidR="006B5BDF" w:rsidTr="006B5BDF">
        <w:tc>
          <w:tcPr>
            <w:tcW w:w="6513" w:type="dxa"/>
            <w:gridSpan w:val="3"/>
            <w:shd w:val="clear" w:color="auto" w:fill="E6E6E6"/>
          </w:tcPr>
          <w:p w:rsidR="006B5BDF" w:rsidRPr="001C47A8" w:rsidRDefault="006B5BDF" w:rsidP="00127394">
            <w:pPr>
              <w:jc w:val="both"/>
              <w:rPr>
                <w:b/>
                <w:i/>
              </w:rPr>
            </w:pPr>
            <w:r w:rsidRPr="001C47A8">
              <w:rPr>
                <w:b/>
                <w:i/>
              </w:rPr>
              <w:t>Quelques PIB de la Triade</w:t>
            </w:r>
          </w:p>
        </w:tc>
        <w:tc>
          <w:tcPr>
            <w:tcW w:w="2359" w:type="dxa"/>
            <w:shd w:val="clear" w:color="auto" w:fill="E6E6E6"/>
          </w:tcPr>
          <w:p w:rsidR="006B5BDF" w:rsidRPr="001C47A8" w:rsidRDefault="006B5BDF" w:rsidP="00127394">
            <w:pPr>
              <w:jc w:val="both"/>
              <w:rPr>
                <w:b/>
                <w:i/>
              </w:rPr>
            </w:pPr>
          </w:p>
        </w:tc>
      </w:tr>
      <w:tr w:rsidR="006B5BDF" w:rsidTr="006B5BDF">
        <w:tc>
          <w:tcPr>
            <w:tcW w:w="1768" w:type="dxa"/>
          </w:tcPr>
          <w:p w:rsidR="006B5BDF" w:rsidRDefault="006B5BDF" w:rsidP="00127394">
            <w:pPr>
              <w:jc w:val="center"/>
            </w:pPr>
            <w:r>
              <w:t>4</w:t>
            </w:r>
          </w:p>
        </w:tc>
        <w:tc>
          <w:tcPr>
            <w:tcW w:w="2305" w:type="dxa"/>
          </w:tcPr>
          <w:p w:rsidR="006B5BDF" w:rsidRDefault="006B5BDF" w:rsidP="00127394">
            <w:pPr>
              <w:jc w:val="center"/>
            </w:pPr>
            <w:r>
              <w:t>E</w:t>
            </w:r>
            <w:r w:rsidRPr="003A253A">
              <w:rPr>
                <w:sz w:val="20"/>
                <w:szCs w:val="20"/>
              </w:rPr>
              <w:t>TATS</w:t>
            </w:r>
            <w:r>
              <w:t>-U</w:t>
            </w:r>
            <w:r w:rsidRPr="003A253A">
              <w:rPr>
                <w:sz w:val="20"/>
                <w:szCs w:val="20"/>
              </w:rPr>
              <w:t>NIS</w:t>
            </w:r>
          </w:p>
        </w:tc>
        <w:tc>
          <w:tcPr>
            <w:tcW w:w="2440" w:type="dxa"/>
          </w:tcPr>
          <w:p w:rsidR="006B5BDF" w:rsidRDefault="006B5BDF" w:rsidP="00127394">
            <w:pPr>
              <w:jc w:val="center"/>
            </w:pPr>
            <w:r>
              <w:t>0,910</w:t>
            </w:r>
          </w:p>
        </w:tc>
        <w:tc>
          <w:tcPr>
            <w:tcW w:w="2359" w:type="dxa"/>
          </w:tcPr>
          <w:p w:rsidR="006B5BDF" w:rsidRDefault="006B5BDF" w:rsidP="00127394">
            <w:pPr>
              <w:jc w:val="center"/>
            </w:pPr>
            <w:r>
              <w:t>(3</w:t>
            </w:r>
            <w:r w:rsidRPr="006B5BDF">
              <w:rPr>
                <w:vertAlign w:val="superscript"/>
              </w:rPr>
              <w:t>e</w:t>
            </w:r>
            <w:r>
              <w:t>) 0,937</w:t>
            </w:r>
          </w:p>
        </w:tc>
      </w:tr>
      <w:tr w:rsidR="006B5BDF" w:rsidTr="006B5BDF">
        <w:tc>
          <w:tcPr>
            <w:tcW w:w="1768" w:type="dxa"/>
          </w:tcPr>
          <w:p w:rsidR="006B5BDF" w:rsidRDefault="006B5BDF" w:rsidP="00127394">
            <w:pPr>
              <w:jc w:val="center"/>
            </w:pPr>
            <w:r>
              <w:t>20</w:t>
            </w:r>
          </w:p>
        </w:tc>
        <w:tc>
          <w:tcPr>
            <w:tcW w:w="2305" w:type="dxa"/>
          </w:tcPr>
          <w:p w:rsidR="006B5BDF" w:rsidRDefault="006B5BDF" w:rsidP="00127394">
            <w:pPr>
              <w:jc w:val="center"/>
            </w:pPr>
            <w:r>
              <w:t>F</w:t>
            </w:r>
            <w:r w:rsidRPr="003A253A">
              <w:rPr>
                <w:sz w:val="20"/>
                <w:szCs w:val="20"/>
              </w:rPr>
              <w:t>RANCE</w:t>
            </w:r>
          </w:p>
        </w:tc>
        <w:tc>
          <w:tcPr>
            <w:tcW w:w="2440" w:type="dxa"/>
          </w:tcPr>
          <w:p w:rsidR="006B5BDF" w:rsidRDefault="006B5BDF" w:rsidP="00127394">
            <w:pPr>
              <w:jc w:val="center"/>
            </w:pPr>
            <w:r>
              <w:t>0,884</w:t>
            </w:r>
          </w:p>
        </w:tc>
        <w:tc>
          <w:tcPr>
            <w:tcW w:w="2359" w:type="dxa"/>
          </w:tcPr>
          <w:p w:rsidR="006B5BDF" w:rsidRDefault="006B5BDF" w:rsidP="00127394">
            <w:pPr>
              <w:jc w:val="center"/>
            </w:pPr>
            <w:r>
              <w:t>(20</w:t>
            </w:r>
            <w:r w:rsidRPr="006B5BDF">
              <w:rPr>
                <w:vertAlign w:val="superscript"/>
              </w:rPr>
              <w:t>e</w:t>
            </w:r>
            <w:r>
              <w:t>) 0,893</w:t>
            </w:r>
          </w:p>
        </w:tc>
      </w:tr>
      <w:tr w:rsidR="006B5BDF" w:rsidTr="006B5BDF">
        <w:tc>
          <w:tcPr>
            <w:tcW w:w="6513" w:type="dxa"/>
            <w:gridSpan w:val="3"/>
            <w:shd w:val="clear" w:color="auto" w:fill="E6E6E6"/>
          </w:tcPr>
          <w:p w:rsidR="006B5BDF" w:rsidRPr="001C47A8" w:rsidRDefault="006B5BDF" w:rsidP="00127394">
            <w:pPr>
              <w:jc w:val="both"/>
              <w:rPr>
                <w:b/>
                <w:i/>
              </w:rPr>
            </w:pPr>
            <w:r w:rsidRPr="001C47A8">
              <w:rPr>
                <w:b/>
                <w:i/>
              </w:rPr>
              <w:t>Quelques PIB des NPIA-1</w:t>
            </w:r>
          </w:p>
        </w:tc>
        <w:tc>
          <w:tcPr>
            <w:tcW w:w="2359" w:type="dxa"/>
            <w:shd w:val="clear" w:color="auto" w:fill="E6E6E6"/>
          </w:tcPr>
          <w:p w:rsidR="006B5BDF" w:rsidRPr="001C47A8" w:rsidRDefault="006B5BDF" w:rsidP="00127394">
            <w:pPr>
              <w:jc w:val="both"/>
              <w:rPr>
                <w:b/>
                <w:i/>
              </w:rPr>
            </w:pPr>
          </w:p>
        </w:tc>
      </w:tr>
      <w:tr w:rsidR="006B5BDF" w:rsidTr="006B5BDF">
        <w:tc>
          <w:tcPr>
            <w:tcW w:w="1768" w:type="dxa"/>
          </w:tcPr>
          <w:p w:rsidR="006B5BDF" w:rsidRDefault="006B5BDF" w:rsidP="00127394">
            <w:pPr>
              <w:jc w:val="center"/>
            </w:pPr>
            <w:r>
              <w:t>15</w:t>
            </w:r>
          </w:p>
        </w:tc>
        <w:tc>
          <w:tcPr>
            <w:tcW w:w="2305" w:type="dxa"/>
          </w:tcPr>
          <w:p w:rsidR="006B5BDF" w:rsidRDefault="006B5BDF" w:rsidP="00127394">
            <w:pPr>
              <w:jc w:val="center"/>
            </w:pPr>
            <w:r>
              <w:t>C</w:t>
            </w:r>
            <w:r w:rsidRPr="003A253A">
              <w:rPr>
                <w:sz w:val="20"/>
                <w:szCs w:val="20"/>
              </w:rPr>
              <w:t xml:space="preserve">OREE DU </w:t>
            </w:r>
            <w:r>
              <w:t>S</w:t>
            </w:r>
            <w:r w:rsidRPr="003A253A">
              <w:rPr>
                <w:sz w:val="20"/>
                <w:szCs w:val="20"/>
              </w:rPr>
              <w:t>UD</w:t>
            </w:r>
          </w:p>
        </w:tc>
        <w:tc>
          <w:tcPr>
            <w:tcW w:w="2440" w:type="dxa"/>
          </w:tcPr>
          <w:p w:rsidR="006B5BDF" w:rsidRDefault="006B5BDF" w:rsidP="00127394">
            <w:pPr>
              <w:jc w:val="center"/>
            </w:pPr>
            <w:r>
              <w:t>0,897</w:t>
            </w:r>
          </w:p>
        </w:tc>
        <w:tc>
          <w:tcPr>
            <w:tcW w:w="2359" w:type="dxa"/>
          </w:tcPr>
          <w:p w:rsidR="006B5BDF" w:rsidRDefault="006B5BDF" w:rsidP="00127394">
            <w:pPr>
              <w:jc w:val="center"/>
            </w:pPr>
            <w:r>
              <w:t>(12</w:t>
            </w:r>
            <w:r w:rsidRPr="006B5BDF">
              <w:rPr>
                <w:vertAlign w:val="superscript"/>
              </w:rPr>
              <w:t>e</w:t>
            </w:r>
            <w:r>
              <w:t>) 0,909</w:t>
            </w:r>
          </w:p>
        </w:tc>
      </w:tr>
      <w:tr w:rsidR="006B5BDF" w:rsidTr="006B5BDF">
        <w:tc>
          <w:tcPr>
            <w:tcW w:w="6513" w:type="dxa"/>
            <w:gridSpan w:val="3"/>
            <w:shd w:val="clear" w:color="auto" w:fill="E6E6E6"/>
          </w:tcPr>
          <w:p w:rsidR="006B5BDF" w:rsidRPr="001C47A8" w:rsidRDefault="006B5BDF" w:rsidP="00127394">
            <w:pPr>
              <w:rPr>
                <w:b/>
                <w:i/>
              </w:rPr>
            </w:pPr>
            <w:r w:rsidRPr="001C47A8">
              <w:rPr>
                <w:b/>
                <w:i/>
              </w:rPr>
              <w:t>Quelques PIB des pays pétroliers</w:t>
            </w:r>
          </w:p>
        </w:tc>
        <w:tc>
          <w:tcPr>
            <w:tcW w:w="2359" w:type="dxa"/>
            <w:shd w:val="clear" w:color="auto" w:fill="E6E6E6"/>
          </w:tcPr>
          <w:p w:rsidR="006B5BDF" w:rsidRPr="001C47A8" w:rsidRDefault="006B5BDF" w:rsidP="00127394">
            <w:pPr>
              <w:rPr>
                <w:b/>
                <w:i/>
              </w:rPr>
            </w:pPr>
          </w:p>
        </w:tc>
      </w:tr>
      <w:tr w:rsidR="006B5BDF" w:rsidTr="006B5BDF">
        <w:tc>
          <w:tcPr>
            <w:tcW w:w="1768" w:type="dxa"/>
          </w:tcPr>
          <w:p w:rsidR="006B5BDF" w:rsidRDefault="006B5BDF" w:rsidP="00127394">
            <w:pPr>
              <w:jc w:val="center"/>
            </w:pPr>
            <w:r>
              <w:t>56</w:t>
            </w:r>
          </w:p>
        </w:tc>
        <w:tc>
          <w:tcPr>
            <w:tcW w:w="2305" w:type="dxa"/>
          </w:tcPr>
          <w:p w:rsidR="006B5BDF" w:rsidRDefault="006B5BDF" w:rsidP="00127394">
            <w:pPr>
              <w:jc w:val="center"/>
            </w:pPr>
            <w:r>
              <w:t>A</w:t>
            </w:r>
            <w:r w:rsidRPr="001C47A8">
              <w:rPr>
                <w:sz w:val="20"/>
                <w:szCs w:val="20"/>
              </w:rPr>
              <w:t>RABIE</w:t>
            </w:r>
            <w:r>
              <w:t xml:space="preserve"> S</w:t>
            </w:r>
            <w:r w:rsidRPr="001C47A8">
              <w:rPr>
                <w:sz w:val="20"/>
                <w:szCs w:val="20"/>
              </w:rPr>
              <w:t>AOUDITE</w:t>
            </w:r>
          </w:p>
        </w:tc>
        <w:tc>
          <w:tcPr>
            <w:tcW w:w="2440" w:type="dxa"/>
          </w:tcPr>
          <w:p w:rsidR="006B5BDF" w:rsidRDefault="006B5BDF" w:rsidP="00127394">
            <w:pPr>
              <w:jc w:val="center"/>
            </w:pPr>
            <w:r>
              <w:t>0,770</w:t>
            </w:r>
          </w:p>
        </w:tc>
        <w:tc>
          <w:tcPr>
            <w:tcW w:w="2359" w:type="dxa"/>
          </w:tcPr>
          <w:p w:rsidR="006B5BDF" w:rsidRDefault="006B5BDF" w:rsidP="00127394">
            <w:pPr>
              <w:jc w:val="center"/>
            </w:pPr>
          </w:p>
        </w:tc>
      </w:tr>
      <w:tr w:rsidR="006B5BDF" w:rsidTr="006B5BDF">
        <w:tc>
          <w:tcPr>
            <w:tcW w:w="1768" w:type="dxa"/>
          </w:tcPr>
          <w:p w:rsidR="006B5BDF" w:rsidRDefault="006B5BDF" w:rsidP="00127394">
            <w:pPr>
              <w:jc w:val="center"/>
            </w:pPr>
            <w:r>
              <w:t>73</w:t>
            </w:r>
          </w:p>
        </w:tc>
        <w:tc>
          <w:tcPr>
            <w:tcW w:w="2305" w:type="dxa"/>
          </w:tcPr>
          <w:p w:rsidR="006B5BDF" w:rsidRDefault="006B5BDF" w:rsidP="00127394">
            <w:pPr>
              <w:jc w:val="center"/>
            </w:pPr>
            <w:r>
              <w:t>V</w:t>
            </w:r>
            <w:r w:rsidRPr="001C47A8">
              <w:rPr>
                <w:sz w:val="20"/>
                <w:szCs w:val="20"/>
              </w:rPr>
              <w:t>ENEZUELA</w:t>
            </w:r>
          </w:p>
        </w:tc>
        <w:tc>
          <w:tcPr>
            <w:tcW w:w="2440" w:type="dxa"/>
          </w:tcPr>
          <w:p w:rsidR="006B5BDF" w:rsidRDefault="006B5BDF" w:rsidP="00127394">
            <w:pPr>
              <w:jc w:val="center"/>
            </w:pPr>
            <w:r>
              <w:t>0,735</w:t>
            </w:r>
          </w:p>
        </w:tc>
        <w:tc>
          <w:tcPr>
            <w:tcW w:w="2359" w:type="dxa"/>
          </w:tcPr>
          <w:p w:rsidR="006B5BDF" w:rsidRDefault="006B5BDF" w:rsidP="00127394">
            <w:pPr>
              <w:jc w:val="center"/>
            </w:pPr>
          </w:p>
        </w:tc>
      </w:tr>
      <w:tr w:rsidR="006B5BDF" w:rsidTr="006B5BDF">
        <w:tc>
          <w:tcPr>
            <w:tcW w:w="6513" w:type="dxa"/>
            <w:gridSpan w:val="3"/>
            <w:shd w:val="clear" w:color="auto" w:fill="E6E6E6"/>
          </w:tcPr>
          <w:p w:rsidR="006B5BDF" w:rsidRPr="001C47A8" w:rsidRDefault="006B5BDF" w:rsidP="00127394">
            <w:pPr>
              <w:jc w:val="both"/>
              <w:rPr>
                <w:b/>
                <w:i/>
              </w:rPr>
            </w:pPr>
            <w:r w:rsidRPr="001C47A8">
              <w:rPr>
                <w:b/>
                <w:i/>
              </w:rPr>
              <w:t>Les PIB des BRIC</w:t>
            </w:r>
          </w:p>
        </w:tc>
        <w:tc>
          <w:tcPr>
            <w:tcW w:w="2359" w:type="dxa"/>
            <w:shd w:val="clear" w:color="auto" w:fill="E6E6E6"/>
          </w:tcPr>
          <w:p w:rsidR="006B5BDF" w:rsidRPr="001C47A8" w:rsidRDefault="006B5BDF" w:rsidP="00127394">
            <w:pPr>
              <w:jc w:val="both"/>
              <w:rPr>
                <w:b/>
                <w:i/>
              </w:rPr>
            </w:pPr>
          </w:p>
        </w:tc>
      </w:tr>
      <w:tr w:rsidR="006B5BDF" w:rsidTr="006B5BDF">
        <w:tc>
          <w:tcPr>
            <w:tcW w:w="1768" w:type="dxa"/>
          </w:tcPr>
          <w:p w:rsidR="006B5BDF" w:rsidRDefault="006B5BDF" w:rsidP="00127394">
            <w:pPr>
              <w:jc w:val="center"/>
            </w:pPr>
            <w:r>
              <w:t>84</w:t>
            </w:r>
          </w:p>
        </w:tc>
        <w:tc>
          <w:tcPr>
            <w:tcW w:w="2305" w:type="dxa"/>
          </w:tcPr>
          <w:p w:rsidR="006B5BDF" w:rsidRDefault="006B5BDF" w:rsidP="00127394">
            <w:pPr>
              <w:jc w:val="center"/>
            </w:pPr>
            <w:r>
              <w:t>B</w:t>
            </w:r>
            <w:r w:rsidRPr="001C47A8">
              <w:rPr>
                <w:sz w:val="20"/>
                <w:szCs w:val="20"/>
              </w:rPr>
              <w:t>RESIL</w:t>
            </w:r>
          </w:p>
        </w:tc>
        <w:tc>
          <w:tcPr>
            <w:tcW w:w="2440" w:type="dxa"/>
          </w:tcPr>
          <w:p w:rsidR="006B5BDF" w:rsidRDefault="006B5BDF" w:rsidP="00127394">
            <w:pPr>
              <w:jc w:val="center"/>
            </w:pPr>
            <w:r>
              <w:t>0,718</w:t>
            </w:r>
          </w:p>
        </w:tc>
        <w:tc>
          <w:tcPr>
            <w:tcW w:w="2359" w:type="dxa"/>
          </w:tcPr>
          <w:p w:rsidR="006B5BDF" w:rsidRDefault="006B5BDF" w:rsidP="00127394">
            <w:pPr>
              <w:jc w:val="center"/>
            </w:pPr>
          </w:p>
        </w:tc>
      </w:tr>
      <w:tr w:rsidR="006B5BDF" w:rsidTr="006B5BDF">
        <w:tc>
          <w:tcPr>
            <w:tcW w:w="1768" w:type="dxa"/>
          </w:tcPr>
          <w:p w:rsidR="006B5BDF" w:rsidRDefault="006B5BDF" w:rsidP="00127394">
            <w:pPr>
              <w:jc w:val="center"/>
            </w:pPr>
            <w:r>
              <w:t>66</w:t>
            </w:r>
          </w:p>
        </w:tc>
        <w:tc>
          <w:tcPr>
            <w:tcW w:w="2305" w:type="dxa"/>
          </w:tcPr>
          <w:p w:rsidR="006B5BDF" w:rsidRDefault="006B5BDF" w:rsidP="00127394">
            <w:pPr>
              <w:jc w:val="center"/>
            </w:pPr>
            <w:r>
              <w:t>R</w:t>
            </w:r>
            <w:r w:rsidRPr="001C47A8">
              <w:rPr>
                <w:sz w:val="20"/>
                <w:szCs w:val="20"/>
              </w:rPr>
              <w:t>USSIE</w:t>
            </w:r>
          </w:p>
        </w:tc>
        <w:tc>
          <w:tcPr>
            <w:tcW w:w="2440" w:type="dxa"/>
          </w:tcPr>
          <w:p w:rsidR="006B5BDF" w:rsidRDefault="006B5BDF" w:rsidP="00127394">
            <w:pPr>
              <w:jc w:val="center"/>
            </w:pPr>
            <w:r>
              <w:t>0,755</w:t>
            </w:r>
          </w:p>
        </w:tc>
        <w:tc>
          <w:tcPr>
            <w:tcW w:w="2359" w:type="dxa"/>
          </w:tcPr>
          <w:p w:rsidR="006B5BDF" w:rsidRDefault="006B5BDF" w:rsidP="00127394">
            <w:pPr>
              <w:jc w:val="center"/>
            </w:pPr>
          </w:p>
        </w:tc>
      </w:tr>
      <w:tr w:rsidR="006B5BDF" w:rsidTr="006B5BDF">
        <w:tc>
          <w:tcPr>
            <w:tcW w:w="1768" w:type="dxa"/>
          </w:tcPr>
          <w:p w:rsidR="006B5BDF" w:rsidRDefault="006B5BDF" w:rsidP="00127394">
            <w:pPr>
              <w:jc w:val="center"/>
            </w:pPr>
            <w:r>
              <w:t>134</w:t>
            </w:r>
          </w:p>
        </w:tc>
        <w:tc>
          <w:tcPr>
            <w:tcW w:w="2305" w:type="dxa"/>
          </w:tcPr>
          <w:p w:rsidR="006B5BDF" w:rsidRDefault="006B5BDF" w:rsidP="00127394">
            <w:pPr>
              <w:jc w:val="center"/>
            </w:pPr>
            <w:r>
              <w:t>I</w:t>
            </w:r>
            <w:r w:rsidRPr="001C47A8">
              <w:rPr>
                <w:sz w:val="20"/>
                <w:szCs w:val="20"/>
              </w:rPr>
              <w:t>NDE</w:t>
            </w:r>
          </w:p>
        </w:tc>
        <w:tc>
          <w:tcPr>
            <w:tcW w:w="2440" w:type="dxa"/>
          </w:tcPr>
          <w:p w:rsidR="006B5BDF" w:rsidRDefault="006B5BDF" w:rsidP="00127394">
            <w:pPr>
              <w:jc w:val="center"/>
            </w:pPr>
            <w:r>
              <w:t>0,547</w:t>
            </w:r>
          </w:p>
        </w:tc>
        <w:tc>
          <w:tcPr>
            <w:tcW w:w="2359" w:type="dxa"/>
          </w:tcPr>
          <w:p w:rsidR="006B5BDF" w:rsidRDefault="006B5BDF" w:rsidP="00127394">
            <w:pPr>
              <w:jc w:val="center"/>
            </w:pPr>
          </w:p>
        </w:tc>
      </w:tr>
      <w:tr w:rsidR="006B5BDF" w:rsidTr="006B5BDF">
        <w:tc>
          <w:tcPr>
            <w:tcW w:w="1768" w:type="dxa"/>
          </w:tcPr>
          <w:p w:rsidR="006B5BDF" w:rsidRDefault="006B5BDF" w:rsidP="00127394">
            <w:pPr>
              <w:jc w:val="center"/>
            </w:pPr>
            <w:r>
              <w:t>101</w:t>
            </w:r>
          </w:p>
        </w:tc>
        <w:tc>
          <w:tcPr>
            <w:tcW w:w="2305" w:type="dxa"/>
          </w:tcPr>
          <w:p w:rsidR="006B5BDF" w:rsidRDefault="006B5BDF" w:rsidP="00127394">
            <w:pPr>
              <w:jc w:val="center"/>
            </w:pPr>
            <w:r>
              <w:t>C</w:t>
            </w:r>
            <w:r w:rsidRPr="001C47A8">
              <w:rPr>
                <w:sz w:val="20"/>
                <w:szCs w:val="20"/>
              </w:rPr>
              <w:t>HINE</w:t>
            </w:r>
          </w:p>
        </w:tc>
        <w:tc>
          <w:tcPr>
            <w:tcW w:w="2440" w:type="dxa"/>
          </w:tcPr>
          <w:p w:rsidR="006B5BDF" w:rsidRDefault="006B5BDF" w:rsidP="00127394">
            <w:pPr>
              <w:jc w:val="center"/>
            </w:pPr>
            <w:r>
              <w:t>0,687</w:t>
            </w:r>
          </w:p>
        </w:tc>
        <w:tc>
          <w:tcPr>
            <w:tcW w:w="2359" w:type="dxa"/>
          </w:tcPr>
          <w:p w:rsidR="006B5BDF" w:rsidRDefault="006B5BDF" w:rsidP="00127394">
            <w:pPr>
              <w:jc w:val="center"/>
            </w:pPr>
          </w:p>
        </w:tc>
      </w:tr>
      <w:tr w:rsidR="006B5BDF" w:rsidTr="006B5BDF">
        <w:tc>
          <w:tcPr>
            <w:tcW w:w="6513" w:type="dxa"/>
            <w:gridSpan w:val="3"/>
            <w:shd w:val="clear" w:color="auto" w:fill="E6E6E6"/>
          </w:tcPr>
          <w:p w:rsidR="006B5BDF" w:rsidRPr="001C47A8" w:rsidRDefault="006B5BDF" w:rsidP="00127394">
            <w:pPr>
              <w:jc w:val="both"/>
              <w:rPr>
                <w:b/>
                <w:i/>
              </w:rPr>
            </w:pPr>
            <w:r w:rsidRPr="001C47A8">
              <w:rPr>
                <w:b/>
                <w:i/>
              </w:rPr>
              <w:t>Quelques PIB des NPIA-2</w:t>
            </w:r>
          </w:p>
        </w:tc>
        <w:tc>
          <w:tcPr>
            <w:tcW w:w="2359" w:type="dxa"/>
            <w:shd w:val="clear" w:color="auto" w:fill="E6E6E6"/>
          </w:tcPr>
          <w:p w:rsidR="006B5BDF" w:rsidRPr="001C47A8" w:rsidRDefault="006B5BDF" w:rsidP="00127394">
            <w:pPr>
              <w:jc w:val="both"/>
              <w:rPr>
                <w:b/>
                <w:i/>
              </w:rPr>
            </w:pPr>
          </w:p>
        </w:tc>
      </w:tr>
      <w:tr w:rsidR="006B5BDF" w:rsidTr="006B5BDF">
        <w:tc>
          <w:tcPr>
            <w:tcW w:w="1768" w:type="dxa"/>
          </w:tcPr>
          <w:p w:rsidR="006B5BDF" w:rsidRDefault="006B5BDF" w:rsidP="00127394">
            <w:pPr>
              <w:jc w:val="center"/>
            </w:pPr>
            <w:r>
              <w:t>124</w:t>
            </w:r>
          </w:p>
        </w:tc>
        <w:tc>
          <w:tcPr>
            <w:tcW w:w="2305" w:type="dxa"/>
          </w:tcPr>
          <w:p w:rsidR="006B5BDF" w:rsidRDefault="006B5BDF" w:rsidP="00127394">
            <w:pPr>
              <w:jc w:val="center"/>
            </w:pPr>
            <w:r>
              <w:t>I</w:t>
            </w:r>
            <w:r w:rsidRPr="001C47A8">
              <w:rPr>
                <w:sz w:val="20"/>
                <w:szCs w:val="20"/>
              </w:rPr>
              <w:t>NDONESIE</w:t>
            </w:r>
          </w:p>
        </w:tc>
        <w:tc>
          <w:tcPr>
            <w:tcW w:w="2440" w:type="dxa"/>
          </w:tcPr>
          <w:p w:rsidR="006B5BDF" w:rsidRDefault="006B5BDF" w:rsidP="00127394">
            <w:pPr>
              <w:jc w:val="center"/>
            </w:pPr>
            <w:r>
              <w:t>0,617</w:t>
            </w:r>
          </w:p>
        </w:tc>
        <w:tc>
          <w:tcPr>
            <w:tcW w:w="2359" w:type="dxa"/>
          </w:tcPr>
          <w:p w:rsidR="006B5BDF" w:rsidRDefault="006B5BDF" w:rsidP="00127394">
            <w:pPr>
              <w:jc w:val="center"/>
            </w:pPr>
          </w:p>
        </w:tc>
      </w:tr>
      <w:tr w:rsidR="006B5BDF" w:rsidTr="006B5BDF">
        <w:tc>
          <w:tcPr>
            <w:tcW w:w="6513" w:type="dxa"/>
            <w:gridSpan w:val="3"/>
            <w:shd w:val="clear" w:color="auto" w:fill="E6E6E6"/>
          </w:tcPr>
          <w:p w:rsidR="006B5BDF" w:rsidRPr="007A55D3" w:rsidRDefault="006B5BDF" w:rsidP="00127394">
            <w:pPr>
              <w:jc w:val="both"/>
              <w:rPr>
                <w:b/>
                <w:i/>
              </w:rPr>
            </w:pPr>
            <w:r w:rsidRPr="007A55D3">
              <w:rPr>
                <w:b/>
                <w:i/>
              </w:rPr>
              <w:t>Quelques PIB des pays émergents</w:t>
            </w:r>
          </w:p>
        </w:tc>
        <w:tc>
          <w:tcPr>
            <w:tcW w:w="2359" w:type="dxa"/>
            <w:shd w:val="clear" w:color="auto" w:fill="E6E6E6"/>
          </w:tcPr>
          <w:p w:rsidR="006B5BDF" w:rsidRPr="007A55D3" w:rsidRDefault="006B5BDF" w:rsidP="00127394">
            <w:pPr>
              <w:jc w:val="both"/>
              <w:rPr>
                <w:b/>
                <w:i/>
              </w:rPr>
            </w:pPr>
          </w:p>
        </w:tc>
      </w:tr>
      <w:tr w:rsidR="006B5BDF" w:rsidTr="006B5BDF">
        <w:tc>
          <w:tcPr>
            <w:tcW w:w="1768" w:type="dxa"/>
          </w:tcPr>
          <w:p w:rsidR="006B5BDF" w:rsidRDefault="006B5BDF" w:rsidP="00127394">
            <w:pPr>
              <w:jc w:val="center"/>
            </w:pPr>
            <w:r>
              <w:t>123</w:t>
            </w:r>
          </w:p>
        </w:tc>
        <w:tc>
          <w:tcPr>
            <w:tcW w:w="2305" w:type="dxa"/>
          </w:tcPr>
          <w:p w:rsidR="006B5BDF" w:rsidRDefault="006B5BDF" w:rsidP="00127394">
            <w:pPr>
              <w:jc w:val="center"/>
            </w:pPr>
            <w:r>
              <w:t>A</w:t>
            </w:r>
            <w:r w:rsidRPr="007A55D3">
              <w:rPr>
                <w:sz w:val="20"/>
                <w:szCs w:val="20"/>
              </w:rPr>
              <w:t xml:space="preserve">FRIQUE DU </w:t>
            </w:r>
            <w:r>
              <w:t>S</w:t>
            </w:r>
            <w:r w:rsidRPr="007A55D3">
              <w:rPr>
                <w:sz w:val="20"/>
                <w:szCs w:val="20"/>
              </w:rPr>
              <w:t>UD</w:t>
            </w:r>
          </w:p>
        </w:tc>
        <w:tc>
          <w:tcPr>
            <w:tcW w:w="2440" w:type="dxa"/>
          </w:tcPr>
          <w:p w:rsidR="006B5BDF" w:rsidRDefault="006B5BDF" w:rsidP="00127394">
            <w:pPr>
              <w:jc w:val="center"/>
            </w:pPr>
            <w:r>
              <w:t>0,617</w:t>
            </w:r>
          </w:p>
        </w:tc>
        <w:tc>
          <w:tcPr>
            <w:tcW w:w="2359" w:type="dxa"/>
          </w:tcPr>
          <w:p w:rsidR="006B5BDF" w:rsidRDefault="006B5BDF" w:rsidP="00127394">
            <w:pPr>
              <w:jc w:val="center"/>
            </w:pPr>
          </w:p>
        </w:tc>
      </w:tr>
      <w:tr w:rsidR="006B5BDF" w:rsidTr="006B5BDF">
        <w:tc>
          <w:tcPr>
            <w:tcW w:w="6513" w:type="dxa"/>
            <w:gridSpan w:val="3"/>
            <w:shd w:val="clear" w:color="auto" w:fill="E6E6E6"/>
          </w:tcPr>
          <w:p w:rsidR="006B5BDF" w:rsidRPr="007A55D3" w:rsidRDefault="006B5BDF" w:rsidP="00127394">
            <w:pPr>
              <w:jc w:val="both"/>
              <w:rPr>
                <w:b/>
                <w:i/>
              </w:rPr>
            </w:pPr>
            <w:r w:rsidRPr="007A55D3">
              <w:rPr>
                <w:b/>
                <w:i/>
              </w:rPr>
              <w:t>Quelques PIB des PMA</w:t>
            </w:r>
          </w:p>
        </w:tc>
        <w:tc>
          <w:tcPr>
            <w:tcW w:w="2359" w:type="dxa"/>
            <w:shd w:val="clear" w:color="auto" w:fill="E6E6E6"/>
          </w:tcPr>
          <w:p w:rsidR="006B5BDF" w:rsidRPr="007A55D3" w:rsidRDefault="006B5BDF" w:rsidP="00127394">
            <w:pPr>
              <w:jc w:val="both"/>
              <w:rPr>
                <w:b/>
                <w:i/>
              </w:rPr>
            </w:pPr>
          </w:p>
        </w:tc>
      </w:tr>
      <w:tr w:rsidR="006B5BDF" w:rsidTr="006B5BDF">
        <w:tc>
          <w:tcPr>
            <w:tcW w:w="1768" w:type="dxa"/>
          </w:tcPr>
          <w:p w:rsidR="006B5BDF" w:rsidRDefault="006B5BDF" w:rsidP="00127394">
            <w:pPr>
              <w:jc w:val="center"/>
            </w:pPr>
            <w:r>
              <w:t>139</w:t>
            </w:r>
          </w:p>
        </w:tc>
        <w:tc>
          <w:tcPr>
            <w:tcW w:w="2305" w:type="dxa"/>
          </w:tcPr>
          <w:p w:rsidR="006B5BDF" w:rsidRDefault="006B5BDF" w:rsidP="00127394">
            <w:pPr>
              <w:jc w:val="center"/>
            </w:pPr>
            <w:r>
              <w:t>C</w:t>
            </w:r>
            <w:r w:rsidRPr="007A55D3">
              <w:rPr>
                <w:sz w:val="20"/>
                <w:szCs w:val="20"/>
              </w:rPr>
              <w:t>AMBODGE</w:t>
            </w:r>
          </w:p>
        </w:tc>
        <w:tc>
          <w:tcPr>
            <w:tcW w:w="2440" w:type="dxa"/>
          </w:tcPr>
          <w:p w:rsidR="006B5BDF" w:rsidRDefault="006B5BDF" w:rsidP="00127394">
            <w:pPr>
              <w:jc w:val="center"/>
            </w:pPr>
            <w:r>
              <w:t>0,523</w:t>
            </w:r>
          </w:p>
        </w:tc>
        <w:tc>
          <w:tcPr>
            <w:tcW w:w="2359" w:type="dxa"/>
          </w:tcPr>
          <w:p w:rsidR="006B5BDF" w:rsidRDefault="006B5BDF" w:rsidP="00127394">
            <w:pPr>
              <w:jc w:val="center"/>
            </w:pPr>
          </w:p>
        </w:tc>
      </w:tr>
      <w:tr w:rsidR="006B5BDF" w:rsidTr="006B5BDF">
        <w:tc>
          <w:tcPr>
            <w:tcW w:w="1768" w:type="dxa"/>
          </w:tcPr>
          <w:p w:rsidR="006B5BDF" w:rsidRDefault="006B5BDF" w:rsidP="00127394">
            <w:pPr>
              <w:jc w:val="center"/>
            </w:pPr>
            <w:r>
              <w:t>186</w:t>
            </w:r>
          </w:p>
        </w:tc>
        <w:tc>
          <w:tcPr>
            <w:tcW w:w="2305" w:type="dxa"/>
          </w:tcPr>
          <w:p w:rsidR="006B5BDF" w:rsidRDefault="006B5BDF" w:rsidP="00127394">
            <w:pPr>
              <w:jc w:val="center"/>
            </w:pPr>
            <w:r>
              <w:t>N</w:t>
            </w:r>
            <w:r w:rsidRPr="007A55D3">
              <w:rPr>
                <w:sz w:val="20"/>
                <w:szCs w:val="20"/>
              </w:rPr>
              <w:t>IGER</w:t>
            </w:r>
          </w:p>
        </w:tc>
        <w:tc>
          <w:tcPr>
            <w:tcW w:w="2440" w:type="dxa"/>
          </w:tcPr>
          <w:p w:rsidR="006B5BDF" w:rsidRDefault="006B5BDF" w:rsidP="00127394">
            <w:pPr>
              <w:jc w:val="center"/>
            </w:pPr>
            <w:r>
              <w:t>0,295</w:t>
            </w:r>
          </w:p>
        </w:tc>
        <w:tc>
          <w:tcPr>
            <w:tcW w:w="2359" w:type="dxa"/>
          </w:tcPr>
          <w:p w:rsidR="006B5BDF" w:rsidRDefault="006B5BDF" w:rsidP="00127394">
            <w:pPr>
              <w:jc w:val="center"/>
            </w:pPr>
            <w:r>
              <w:t>(187</w:t>
            </w:r>
            <w:r w:rsidRPr="006B5BDF">
              <w:rPr>
                <w:vertAlign w:val="superscript"/>
              </w:rPr>
              <w:t>e</w:t>
            </w:r>
            <w:r>
              <w:t>) 0,304</w:t>
            </w:r>
          </w:p>
        </w:tc>
      </w:tr>
    </w:tbl>
    <w:p w:rsidR="00C43539" w:rsidRDefault="00C43539" w:rsidP="00C43539">
      <w:pPr>
        <w:jc w:val="both"/>
      </w:pPr>
    </w:p>
    <w:p w:rsidR="00452F50" w:rsidRDefault="00C43539" w:rsidP="00C43539">
      <w:pPr>
        <w:jc w:val="both"/>
      </w:pPr>
      <w:r w:rsidRPr="00C43539">
        <w:rPr>
          <w:u w:val="single"/>
        </w:rPr>
        <w:t>S</w:t>
      </w:r>
      <w:r w:rsidRPr="00C43539">
        <w:rPr>
          <w:sz w:val="20"/>
          <w:szCs w:val="20"/>
          <w:u w:val="single"/>
        </w:rPr>
        <w:t>OURCES</w:t>
      </w:r>
      <w:r w:rsidRPr="00C43539">
        <w:rPr>
          <w:u w:val="single"/>
        </w:rPr>
        <w:t> :</w:t>
      </w:r>
      <w:r>
        <w:t> </w:t>
      </w:r>
    </w:p>
    <w:p w:rsidR="00C43539" w:rsidRDefault="00452F50" w:rsidP="00C43539">
      <w:pPr>
        <w:jc w:val="both"/>
      </w:pPr>
      <w:r w:rsidRPr="00452F50">
        <w:rPr>
          <w:b/>
        </w:rPr>
        <w:t>[</w:t>
      </w:r>
      <w:r>
        <w:rPr>
          <w:b/>
        </w:rPr>
        <w:t>1</w:t>
      </w:r>
      <w:r w:rsidRPr="00452F50">
        <w:rPr>
          <w:b/>
        </w:rPr>
        <w:t>] </w:t>
      </w:r>
      <w:r w:rsidR="00C43539" w:rsidRPr="00C43539">
        <w:rPr>
          <w:i/>
        </w:rPr>
        <w:t>Rapport annuel mondial sur le développement</w:t>
      </w:r>
      <w:r w:rsidR="00C43539">
        <w:t xml:space="preserve"> du Programme des Nations Unies pour le Développement (PNUD), publié en 2012, collecté en 2011 sur des données statistiques de 2010 et 2011. </w:t>
      </w:r>
    </w:p>
    <w:p w:rsidR="00452F50" w:rsidRDefault="00452F50" w:rsidP="00C43539">
      <w:pPr>
        <w:jc w:val="both"/>
      </w:pPr>
      <w:r w:rsidRPr="00452F50">
        <w:rPr>
          <w:b/>
        </w:rPr>
        <w:t>[</w:t>
      </w:r>
      <w:r>
        <w:rPr>
          <w:b/>
        </w:rPr>
        <w:t>2</w:t>
      </w:r>
      <w:r w:rsidRPr="00452F50">
        <w:rPr>
          <w:b/>
        </w:rPr>
        <w:t>] </w:t>
      </w:r>
      <w:r w:rsidRPr="00452F50">
        <w:rPr>
          <w:i/>
        </w:rPr>
        <w:t>Rapport annuel mondial sur le développement</w:t>
      </w:r>
      <w:r>
        <w:t xml:space="preserve"> du PNUD, publié en 2013, données collectées en 2012 sur des données de 2009. </w:t>
      </w:r>
    </w:p>
    <w:p w:rsidR="00C43539" w:rsidRPr="00452F50" w:rsidRDefault="00C43539" w:rsidP="00C43539"/>
    <w:p w:rsidR="00452F50" w:rsidRDefault="00452F50" w:rsidP="00C43539"/>
    <w:p w:rsidR="00452F50" w:rsidRDefault="00452F50" w:rsidP="00C43539"/>
    <w:p w:rsidR="00452F50" w:rsidRDefault="00452F50" w:rsidP="00C43539">
      <w:pPr>
        <w:jc w:val="both"/>
      </w:pPr>
    </w:p>
    <w:p w:rsidR="00452F50" w:rsidRPr="00452F50" w:rsidRDefault="00452F50" w:rsidP="00452F50">
      <w:pPr>
        <w:jc w:val="center"/>
        <w:rPr>
          <w:b/>
        </w:rPr>
      </w:pPr>
      <w:r>
        <w:rPr>
          <w:b/>
        </w:rPr>
        <w:lastRenderedPageBreak/>
        <w:t>1.2 </w:t>
      </w:r>
      <w:r w:rsidRPr="00452F50">
        <w:rPr>
          <w:b/>
        </w:rPr>
        <w:t>Les ingrédients et les méthodes de calcul de l’IDH</w:t>
      </w:r>
    </w:p>
    <w:p w:rsidR="00452F50" w:rsidRDefault="00452F50" w:rsidP="00C43539">
      <w:pPr>
        <w:jc w:val="both"/>
      </w:pPr>
    </w:p>
    <w:p w:rsidR="00452F50" w:rsidRDefault="00452F50" w:rsidP="00C43539">
      <w:pPr>
        <w:jc w:val="both"/>
      </w:pPr>
      <w:r>
        <w:t xml:space="preserve">L’Indice de Développement Humain (IDH) a été élaboré par les économistes </w:t>
      </w:r>
      <w:proofErr w:type="spellStart"/>
      <w:r>
        <w:t>Amartya</w:t>
      </w:r>
      <w:proofErr w:type="spellEnd"/>
      <w:r>
        <w:t xml:space="preserve"> S</w:t>
      </w:r>
      <w:r w:rsidRPr="00452F50">
        <w:rPr>
          <w:sz w:val="20"/>
          <w:szCs w:val="20"/>
        </w:rPr>
        <w:t>EN</w:t>
      </w:r>
      <w:r>
        <w:t xml:space="preserve"> (Inde) et </w:t>
      </w:r>
      <w:proofErr w:type="spellStart"/>
      <w:r>
        <w:t>Mahbub</w:t>
      </w:r>
      <w:proofErr w:type="spellEnd"/>
      <w:r>
        <w:t xml:space="preserve"> U</w:t>
      </w:r>
      <w:r w:rsidRPr="00452F50">
        <w:rPr>
          <w:sz w:val="20"/>
          <w:szCs w:val="20"/>
        </w:rPr>
        <w:t>L</w:t>
      </w:r>
      <w:r>
        <w:t>’H</w:t>
      </w:r>
      <w:r w:rsidRPr="00452F50">
        <w:rPr>
          <w:sz w:val="20"/>
          <w:szCs w:val="20"/>
        </w:rPr>
        <w:t>AQ</w:t>
      </w:r>
      <w:r>
        <w:t xml:space="preserve"> (Pakistan) en 1990 pour le Programme des Nations Unies pour le Développement (PNUD). Il est calculé rétrospectivement (Jusqu’à 1975) afin de fournir des indicateurs d’évolution sur le moyen terme. </w:t>
      </w:r>
    </w:p>
    <w:p w:rsidR="00452F50" w:rsidRDefault="00452F50" w:rsidP="00C43539">
      <w:pPr>
        <w:jc w:val="both"/>
      </w:pPr>
    </w:p>
    <w:p w:rsidR="00452F50" w:rsidRDefault="00452F50" w:rsidP="00C43539">
      <w:pPr>
        <w:jc w:val="both"/>
      </w:pPr>
      <w:r>
        <w:t>Le but du calcul de l’IDH est de compléter le PIB comme mesure des niveaux de développement en prenant en compte non seulement la création des richesses (PIB) mais également la redistribution globale des richesses au sein d’un pays. </w:t>
      </w:r>
    </w:p>
    <w:p w:rsidR="00452F50" w:rsidRDefault="00452F50" w:rsidP="00C43539">
      <w:pPr>
        <w:jc w:val="both"/>
      </w:pPr>
    </w:p>
    <w:p w:rsidR="00452F50" w:rsidRDefault="006E1D0E" w:rsidP="00C43539">
      <w:pPr>
        <w:jc w:val="both"/>
      </w:pPr>
      <w:r>
        <w:t>Le calcul de l’IDH prend</w:t>
      </w:r>
      <w:r w:rsidR="00452F50">
        <w:t xml:space="preserve"> en compte l’espérance de vie à la naissance (1), le </w:t>
      </w:r>
      <w:r w:rsidR="00597F9C">
        <w:t xml:space="preserve">niveau d’éducation (2) et le niveau de vie (3) mesuré par le PIB (Jusqu’en 2010) puis </w:t>
      </w:r>
      <w:r>
        <w:t xml:space="preserve">mesuré par </w:t>
      </w:r>
      <w:r w:rsidR="00597F9C">
        <w:t>le Revenu National Brut (</w:t>
      </w:r>
      <w:r>
        <w:t>RNB, d</w:t>
      </w:r>
      <w:r w:rsidR="00597F9C">
        <w:t>epuis 2010). </w:t>
      </w:r>
    </w:p>
    <w:p w:rsidR="00452F50" w:rsidRDefault="00452F50" w:rsidP="00C43539">
      <w:pPr>
        <w:jc w:val="both"/>
      </w:pPr>
    </w:p>
    <w:p w:rsidR="00597F9C" w:rsidRDefault="00C43539" w:rsidP="00C43539">
      <w:pPr>
        <w:jc w:val="both"/>
      </w:pPr>
      <w:r>
        <w:t>La méthode de calcul de l’IDH a changé entre 2009 et 2011 et le rapport de 2011 est le premier à utiliser systématiquement la nouvelle méthode dite de « progression géométrique ». Les écarts entre les chiffres de 2009 et ceux de 2011 sont conséquents. </w:t>
      </w:r>
    </w:p>
    <w:p w:rsidR="00597F9C" w:rsidRDefault="00597F9C" w:rsidP="00C43539">
      <w:pPr>
        <w:jc w:val="both"/>
      </w:pPr>
    </w:p>
    <w:p w:rsidR="004455ED" w:rsidRDefault="00597F9C" w:rsidP="00C43539">
      <w:pPr>
        <w:jc w:val="both"/>
      </w:pPr>
      <w:r>
        <w:t>Ce changement de mode de calcul a pour objectif de réduire l’impact d’une forte croissance (Par exemple celle du PIB) sur l’ensemble de l’indice. Ainsi une explosion des prix des matières premières faisant artificiellement augmenter le PIB d’un pays exportateur n’augmentera cependant pas son IDH de manière exagérée. </w:t>
      </w:r>
    </w:p>
    <w:p w:rsidR="00452F50" w:rsidRDefault="00452F50" w:rsidP="00C43539">
      <w:pPr>
        <w:jc w:val="both"/>
      </w:pPr>
    </w:p>
    <w:p w:rsidR="00597F9C" w:rsidRDefault="00597F9C" w:rsidP="00C43539">
      <w:pPr>
        <w:jc w:val="both"/>
      </w:pPr>
      <w:r>
        <w:t xml:space="preserve">En 2010 une nouvelle modification a eu lieu dans le calcul de l’IDH. Au lieu du PIB qui mesurait la création de richesses </w:t>
      </w:r>
      <w:r w:rsidRPr="006E1D0E">
        <w:rPr>
          <w:i/>
        </w:rPr>
        <w:t>in situ</w:t>
      </w:r>
      <w:r>
        <w:t xml:space="preserve"> le PNUD utilise le RNB qui prend en compte les transferts financiers internationaux. Ainsi une entreprise minière étrangère installée sur le sol national verra son Chiffre d’Affaire (CA) comptabilisé dans le PIB mais le RNB ne prendra pas en compte les bénéfices rapatriés dans le pays d’origine de la firme ni tous les autres flux financiers ayant quittés le pays d’exploitation. </w:t>
      </w:r>
    </w:p>
    <w:p w:rsidR="00597F9C" w:rsidRDefault="00597F9C" w:rsidP="00C43539">
      <w:pPr>
        <w:jc w:val="both"/>
      </w:pPr>
    </w:p>
    <w:p w:rsidR="00597F9C" w:rsidRDefault="00597F9C" w:rsidP="00C43539">
      <w:pPr>
        <w:jc w:val="both"/>
      </w:pPr>
      <w:r>
        <w:t>Les IDH des pays exportateurs de matières premières ou accueillant massivement des usines délocalisées ont singulièrement baissé. </w:t>
      </w:r>
    </w:p>
    <w:p w:rsidR="00597F9C" w:rsidRDefault="00597F9C" w:rsidP="00C43539">
      <w:pPr>
        <w:jc w:val="both"/>
      </w:pPr>
    </w:p>
    <w:p w:rsidR="00597F9C" w:rsidRDefault="00597F9C" w:rsidP="00C43539">
      <w:pPr>
        <w:jc w:val="both"/>
      </w:pPr>
      <w:r>
        <w:t>L’IDH reste cependant un indicateur insuffisant pour mesurer complètement le développement. Il ne prend par exemple que très peu en compte les inégalités au sein d’un</w:t>
      </w:r>
      <w:r w:rsidR="006E1D0E">
        <w:t xml:space="preserve"> même pays, </w:t>
      </w:r>
      <w:r>
        <w:t xml:space="preserve">même si depuis 2011 </w:t>
      </w:r>
      <w:r w:rsidR="006E1D0E">
        <w:t xml:space="preserve">il </w:t>
      </w:r>
      <w:r>
        <w:t>existe un « IDH ajusté aux inégalités ». </w:t>
      </w:r>
    </w:p>
    <w:p w:rsidR="00597F9C" w:rsidRDefault="00597F9C" w:rsidP="00C43539">
      <w:pPr>
        <w:jc w:val="both"/>
      </w:pPr>
    </w:p>
    <w:p w:rsidR="00597F9C" w:rsidRDefault="00597F9C" w:rsidP="00C43539">
      <w:pPr>
        <w:jc w:val="both"/>
      </w:pPr>
      <w:r>
        <w:t>L’IDH ne prend bien sûr pas en compte les différences régionales ou sexuelles. Le PNUD élabore donc en permanence des IDH régionaux et des IDH par genre. Mais ces indicateurs sont encore loin d’exister pour de nombreux pays. </w:t>
      </w:r>
    </w:p>
    <w:p w:rsidR="00597F9C" w:rsidRDefault="00597F9C" w:rsidP="00C43539">
      <w:pPr>
        <w:jc w:val="both"/>
      </w:pPr>
    </w:p>
    <w:p w:rsidR="00597F9C" w:rsidRDefault="00597F9C" w:rsidP="00C43539">
      <w:pPr>
        <w:jc w:val="both"/>
      </w:pPr>
      <w:r>
        <w:t xml:space="preserve">La collecte des données est parfois sujette à caution. Pour 16 pays (Sur 187, soit 8,5%) tous les indices n’étaient pas disponibles. L’IDH a donc été calculé à partir de données incomplètes. Certains pays (Comme Taïwan) n’étant pas membres de l’ONU fournissent des </w:t>
      </w:r>
      <w:r w:rsidR="006E1D0E">
        <w:t>données à partir de leurs admin</w:t>
      </w:r>
      <w:r>
        <w:t>i</w:t>
      </w:r>
      <w:r w:rsidR="006E1D0E">
        <w:t>s</w:t>
      </w:r>
      <w:r>
        <w:t>trations publiques, parfois sujette</w:t>
      </w:r>
      <w:r w:rsidR="006E1D0E">
        <w:t>s</w:t>
      </w:r>
      <w:r>
        <w:t xml:space="preserve"> à caution. </w:t>
      </w:r>
    </w:p>
    <w:p w:rsidR="006E1D0E" w:rsidRDefault="006E1D0E" w:rsidP="00C43539">
      <w:pPr>
        <w:jc w:val="both"/>
      </w:pPr>
    </w:p>
    <w:p w:rsidR="006E1D0E" w:rsidRDefault="006E1D0E" w:rsidP="00C43539">
      <w:pPr>
        <w:jc w:val="both"/>
      </w:pPr>
      <w:r>
        <w:t>Plus grave l’IDH ne prend pas en compte la situation politique (démocratie, dictature…) alors même que des indicateurs existent et que la situation politique est une manifestation nette du développement social d’une communauté. </w:t>
      </w:r>
    </w:p>
    <w:p w:rsidR="00597F9C" w:rsidRDefault="00597F9C" w:rsidP="00C43539">
      <w:pPr>
        <w:jc w:val="both"/>
      </w:pPr>
    </w:p>
    <w:p w:rsidR="009814A1" w:rsidRDefault="009814A1" w:rsidP="00C43539">
      <w:pPr>
        <w:jc w:val="both"/>
      </w:pPr>
      <w:r>
        <w:t>Plus que jamais il importe donc de croiser les indicateurs, de les mettre en perspective géographie en les comparant avec d’autres pays et de les mettre en perspective chronologique en mesurant les évolutions des mêmes indicateurs dans le temps pour un pays donné. C’est dans ce croisement des indicateurs et des échelles que se fait la « mesure du développement ». </w:t>
      </w:r>
    </w:p>
    <w:sectPr w:rsidR="009814A1" w:rsidSect="00C056C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C43539"/>
    <w:rsid w:val="001C2D48"/>
    <w:rsid w:val="00313F97"/>
    <w:rsid w:val="00430927"/>
    <w:rsid w:val="004455ED"/>
    <w:rsid w:val="00452F50"/>
    <w:rsid w:val="00597F9C"/>
    <w:rsid w:val="006B5BDF"/>
    <w:rsid w:val="006E1D0E"/>
    <w:rsid w:val="009814A1"/>
    <w:rsid w:val="00C43539"/>
    <w:rsid w:val="00F61C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53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43539"/>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52F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814</Words>
  <Characters>4479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Secondaire</dc:creator>
  <cp:lastModifiedBy>Admin</cp:lastModifiedBy>
  <cp:revision>6</cp:revision>
  <dcterms:created xsi:type="dcterms:W3CDTF">2012-07-31T16:57:00Z</dcterms:created>
  <dcterms:modified xsi:type="dcterms:W3CDTF">2013-11-06T20:53:00Z</dcterms:modified>
</cp:coreProperties>
</file>