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9D9" w:rsidRDefault="00F839D9" w:rsidP="00F839D9">
      <w:pPr>
        <w:jc w:val="both"/>
      </w:pPr>
      <w:r>
        <w:t>C</w:t>
      </w:r>
      <w:r w:rsidRPr="00BB5DC9">
        <w:rPr>
          <w:sz w:val="20"/>
          <w:szCs w:val="20"/>
        </w:rPr>
        <w:t>OMPOSITION</w:t>
      </w:r>
      <w:r>
        <w:rPr>
          <w:sz w:val="20"/>
          <w:szCs w:val="20"/>
        </w:rPr>
        <w:t xml:space="preserve"> – </w:t>
      </w:r>
      <w:r w:rsidRPr="00F839D9">
        <w:t>P</w:t>
      </w:r>
      <w:r>
        <w:rPr>
          <w:sz w:val="20"/>
          <w:szCs w:val="20"/>
        </w:rPr>
        <w:t>LAN D</w:t>
      </w:r>
      <w:r>
        <w:rPr>
          <w:rFonts w:cstheme="minorHAnsi"/>
          <w:sz w:val="20"/>
          <w:szCs w:val="20"/>
        </w:rPr>
        <w:t>É</w:t>
      </w:r>
      <w:r>
        <w:rPr>
          <w:sz w:val="20"/>
          <w:szCs w:val="20"/>
        </w:rPr>
        <w:t>TAILL</w:t>
      </w:r>
      <w:r>
        <w:rPr>
          <w:rFonts w:cstheme="minorHAnsi"/>
          <w:sz w:val="20"/>
          <w:szCs w:val="20"/>
        </w:rPr>
        <w:t>É</w:t>
      </w:r>
    </w:p>
    <w:p w:rsidR="00F839D9" w:rsidRDefault="00F839D9" w:rsidP="00F839D9">
      <w:pPr>
        <w:ind w:left="1276" w:hanging="1276"/>
        <w:jc w:val="both"/>
        <w:rPr>
          <w:b/>
          <w:sz w:val="28"/>
          <w:szCs w:val="28"/>
        </w:rPr>
      </w:pPr>
      <w:r w:rsidRPr="005D08E3">
        <w:rPr>
          <w:rFonts w:cstheme="minorHAnsi"/>
          <w:b/>
          <w:bCs/>
          <w:sz w:val="28"/>
          <w:szCs w:val="28"/>
        </w:rPr>
        <w:t>L’</w:t>
      </w:r>
      <w:r>
        <w:rPr>
          <w:rFonts w:cstheme="minorHAnsi"/>
          <w:b/>
          <w:bCs/>
          <w:sz w:val="28"/>
          <w:szCs w:val="28"/>
        </w:rPr>
        <w:t>Union Européenne : une union d’É</w:t>
      </w:r>
      <w:r w:rsidRPr="005D08E3">
        <w:rPr>
          <w:rFonts w:cstheme="minorHAnsi"/>
          <w:b/>
          <w:bCs/>
          <w:sz w:val="28"/>
          <w:szCs w:val="28"/>
        </w:rPr>
        <w:t>tats « à géométrie variable » selon les projets.</w:t>
      </w:r>
      <w:r>
        <w:rPr>
          <w:b/>
          <w:sz w:val="28"/>
          <w:szCs w:val="28"/>
        </w:rPr>
        <w:t> </w:t>
      </w:r>
    </w:p>
    <w:p w:rsidR="00A51182" w:rsidRDefault="00964A97" w:rsidP="00964A97">
      <w:pPr>
        <w:jc w:val="center"/>
      </w:pPr>
      <w:r>
        <w:t>L’Union Européenne est-elle une union d’</w:t>
      </w:r>
      <w:r>
        <w:rPr>
          <w:rFonts w:cstheme="minorHAnsi"/>
        </w:rPr>
        <w:t>É</w:t>
      </w:r>
      <w:r>
        <w:t>tats « à géométrie variable » selon les projets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851"/>
        <w:gridCol w:w="5111"/>
      </w:tblGrid>
      <w:tr w:rsidR="00964A97" w:rsidTr="00964A97">
        <w:tc>
          <w:tcPr>
            <w:tcW w:w="4644" w:type="dxa"/>
          </w:tcPr>
          <w:p w:rsidR="00964A97" w:rsidRDefault="00996BB8" w:rsidP="00964A97">
            <w:pPr>
              <w:jc w:val="center"/>
            </w:pPr>
            <w:r>
              <w:rPr>
                <w:noProof/>
                <w:lang w:eastAsia="fr-FR"/>
              </w:rPr>
              <w:pict>
                <v:shape id="_x0000_s1026" style="position:absolute;left:0;text-align:left;margin-left:69.75pt;margin-top:9.35pt;width:269.25pt;height:454.6pt;z-index:251658240" coordsize="5385,9092" path="m,9092c575,8867,2830,9002,3450,7757,4070,6512,3600,2872,3720,1622,3840,372,3893,514,4170,257,4447,,5132,114,5385,77e" filled="f" strokeweight="1pt">
                  <v:stroke endarrow="block"/>
                  <v:path arrowok="t"/>
                </v:shape>
              </w:pict>
            </w:r>
            <w:r w:rsidR="00964A97">
              <w:t>OUI</w:t>
            </w:r>
          </w:p>
        </w:tc>
        <w:tc>
          <w:tcPr>
            <w:tcW w:w="851" w:type="dxa"/>
          </w:tcPr>
          <w:p w:rsidR="00964A97" w:rsidRPr="002F1EA8" w:rsidRDefault="00964A97" w:rsidP="00964A97">
            <w:pPr>
              <w:jc w:val="center"/>
              <w:rPr>
                <w:b/>
              </w:rPr>
            </w:pPr>
            <w:r w:rsidRPr="002F1EA8">
              <w:rPr>
                <w:b/>
              </w:rPr>
              <w:t>Mais</w:t>
            </w:r>
          </w:p>
        </w:tc>
        <w:tc>
          <w:tcPr>
            <w:tcW w:w="5111" w:type="dxa"/>
          </w:tcPr>
          <w:p w:rsidR="00964A97" w:rsidRDefault="00964A97" w:rsidP="00964A97">
            <w:pPr>
              <w:jc w:val="center"/>
            </w:pPr>
            <w:r>
              <w:t>P</w:t>
            </w:r>
            <w:r w:rsidR="002F1EA8">
              <w:t>AS ESSENTIELLEMENT</w:t>
            </w:r>
          </w:p>
        </w:tc>
      </w:tr>
      <w:tr w:rsidR="00964A97" w:rsidRPr="00964A97" w:rsidTr="00964A97">
        <w:tc>
          <w:tcPr>
            <w:tcW w:w="4644" w:type="dxa"/>
          </w:tcPr>
          <w:p w:rsidR="00964A97" w:rsidRPr="00964A97" w:rsidRDefault="00964A97" w:rsidP="00964A97">
            <w:pPr>
              <w:jc w:val="center"/>
              <w:rPr>
                <w:b/>
              </w:rPr>
            </w:pPr>
            <w:r w:rsidRPr="00964A97">
              <w:rPr>
                <w:b/>
              </w:rPr>
              <w:t>I.</w:t>
            </w:r>
          </w:p>
        </w:tc>
        <w:tc>
          <w:tcPr>
            <w:tcW w:w="851" w:type="dxa"/>
          </w:tcPr>
          <w:p w:rsidR="00964A97" w:rsidRPr="00964A97" w:rsidRDefault="00964A97" w:rsidP="00964A97">
            <w:pPr>
              <w:jc w:val="center"/>
              <w:rPr>
                <w:b/>
              </w:rPr>
            </w:pPr>
          </w:p>
        </w:tc>
        <w:tc>
          <w:tcPr>
            <w:tcW w:w="5111" w:type="dxa"/>
          </w:tcPr>
          <w:p w:rsidR="00964A97" w:rsidRPr="00964A97" w:rsidRDefault="00964A97" w:rsidP="00964A97">
            <w:pPr>
              <w:jc w:val="center"/>
              <w:rPr>
                <w:b/>
              </w:rPr>
            </w:pPr>
            <w:r w:rsidRPr="00964A97">
              <w:rPr>
                <w:b/>
              </w:rPr>
              <w:t>II.</w:t>
            </w:r>
          </w:p>
        </w:tc>
      </w:tr>
      <w:tr w:rsidR="00964A97" w:rsidTr="00964A97">
        <w:tc>
          <w:tcPr>
            <w:tcW w:w="4644" w:type="dxa"/>
          </w:tcPr>
          <w:p w:rsidR="00964A97" w:rsidRDefault="00964A97" w:rsidP="00964A97">
            <w:pPr>
              <w:jc w:val="center"/>
              <w:rPr>
                <w:b/>
              </w:rPr>
            </w:pPr>
            <w:r w:rsidRPr="00964A97">
              <w:rPr>
                <w:b/>
              </w:rPr>
              <w:t>Une union d’</w:t>
            </w:r>
            <w:r w:rsidRPr="00964A97">
              <w:rPr>
                <w:rFonts w:cstheme="minorHAnsi"/>
                <w:b/>
              </w:rPr>
              <w:t>É</w:t>
            </w:r>
            <w:r w:rsidRPr="00964A97">
              <w:rPr>
                <w:b/>
              </w:rPr>
              <w:t>tats à géométrie variable selon les projets</w:t>
            </w:r>
          </w:p>
          <w:p w:rsidR="00964A97" w:rsidRPr="00964A97" w:rsidRDefault="00964A97" w:rsidP="00964A97">
            <w:pPr>
              <w:jc w:val="center"/>
              <w:rPr>
                <w:b/>
              </w:rPr>
            </w:pPr>
          </w:p>
        </w:tc>
        <w:tc>
          <w:tcPr>
            <w:tcW w:w="851" w:type="dxa"/>
          </w:tcPr>
          <w:p w:rsidR="00964A97" w:rsidRDefault="00964A97" w:rsidP="00F839D9">
            <w:pPr>
              <w:jc w:val="both"/>
            </w:pPr>
          </w:p>
        </w:tc>
        <w:tc>
          <w:tcPr>
            <w:tcW w:w="5111" w:type="dxa"/>
          </w:tcPr>
          <w:p w:rsidR="00964A97" w:rsidRPr="00964A97" w:rsidRDefault="00964A97" w:rsidP="00964A97">
            <w:pPr>
              <w:jc w:val="center"/>
              <w:rPr>
                <w:b/>
              </w:rPr>
            </w:pPr>
            <w:r>
              <w:rPr>
                <w:b/>
              </w:rPr>
              <w:t>Un projet global de partage de la croissance, d’intégration économique et de paix fédérateur</w:t>
            </w:r>
          </w:p>
        </w:tc>
      </w:tr>
      <w:tr w:rsidR="00964A97" w:rsidTr="00964A97">
        <w:tc>
          <w:tcPr>
            <w:tcW w:w="4644" w:type="dxa"/>
          </w:tcPr>
          <w:p w:rsidR="00964A97" w:rsidRPr="003A0612" w:rsidRDefault="00964A97" w:rsidP="00F839D9">
            <w:pPr>
              <w:jc w:val="both"/>
              <w:rPr>
                <w:b/>
              </w:rPr>
            </w:pPr>
            <w:r w:rsidRPr="00964A97">
              <w:rPr>
                <w:b/>
              </w:rPr>
              <w:t>1. </w:t>
            </w:r>
            <w:r w:rsidRPr="00964A97">
              <w:rPr>
                <w:rFonts w:cstheme="minorHAnsi"/>
                <w:b/>
              </w:rPr>
              <w:t>À</w:t>
            </w:r>
            <w:r w:rsidRPr="00964A97">
              <w:rPr>
                <w:b/>
              </w:rPr>
              <w:t xml:space="preserve"> l’échelle de l’Union, des projets économiques et politiques qui rassemblent les </w:t>
            </w:r>
            <w:r w:rsidRPr="00964A97">
              <w:rPr>
                <w:rFonts w:ascii="Calibri" w:hAnsi="Calibri" w:cs="Calibri"/>
                <w:b/>
              </w:rPr>
              <w:t>É</w:t>
            </w:r>
            <w:r w:rsidRPr="00964A97">
              <w:rPr>
                <w:b/>
              </w:rPr>
              <w:t>tats en fonction de leurs capacités et de leur volonté. </w:t>
            </w:r>
          </w:p>
        </w:tc>
        <w:tc>
          <w:tcPr>
            <w:tcW w:w="851" w:type="dxa"/>
          </w:tcPr>
          <w:p w:rsidR="00964A97" w:rsidRDefault="00964A97" w:rsidP="00F839D9">
            <w:pPr>
              <w:jc w:val="both"/>
            </w:pPr>
          </w:p>
        </w:tc>
        <w:tc>
          <w:tcPr>
            <w:tcW w:w="5111" w:type="dxa"/>
          </w:tcPr>
          <w:p w:rsidR="00964A97" w:rsidRPr="00BC6741" w:rsidRDefault="00BC6741" w:rsidP="00F839D9">
            <w:pPr>
              <w:jc w:val="both"/>
              <w:rPr>
                <w:b/>
              </w:rPr>
            </w:pPr>
            <w:r w:rsidRPr="00BC6741">
              <w:rPr>
                <w:b/>
              </w:rPr>
              <w:t>1. L’Europe est peut-être d’abord un projet politique de paix et de partage de la croissance</w:t>
            </w:r>
          </w:p>
        </w:tc>
      </w:tr>
      <w:tr w:rsidR="00964A97" w:rsidTr="00964A97">
        <w:tc>
          <w:tcPr>
            <w:tcW w:w="4644" w:type="dxa"/>
          </w:tcPr>
          <w:p w:rsidR="00964A97" w:rsidRPr="00EB42C7" w:rsidRDefault="00964A97" w:rsidP="00F839D9">
            <w:pPr>
              <w:jc w:val="both"/>
              <w:rPr>
                <w:i/>
              </w:rPr>
            </w:pPr>
            <w:r w:rsidRPr="00EB42C7">
              <w:rPr>
                <w:i/>
              </w:rPr>
              <w:t xml:space="preserve">1°) Des projets économiques (essentiellement financiers) qui intègrent inégalement les </w:t>
            </w:r>
            <w:r w:rsidRPr="00EB42C7">
              <w:rPr>
                <w:rFonts w:cstheme="minorHAnsi"/>
                <w:i/>
              </w:rPr>
              <w:t>É</w:t>
            </w:r>
            <w:r w:rsidRPr="00EB42C7">
              <w:rPr>
                <w:i/>
              </w:rPr>
              <w:t>tats européens : </w:t>
            </w:r>
          </w:p>
          <w:p w:rsidR="00964A97" w:rsidRDefault="00964A97" w:rsidP="00F839D9">
            <w:pPr>
              <w:jc w:val="both"/>
            </w:pPr>
            <w:r>
              <w:t>La zone €, le pilotage financier des crises économiques…</w:t>
            </w:r>
          </w:p>
          <w:p w:rsidR="00964A97" w:rsidRDefault="00964A97" w:rsidP="00F839D9">
            <w:pPr>
              <w:jc w:val="both"/>
            </w:pPr>
            <w:r>
              <w:t xml:space="preserve">Espace </w:t>
            </w:r>
            <w:r>
              <w:rPr>
                <w:rFonts w:cstheme="minorHAnsi"/>
              </w:rPr>
              <w:t>É</w:t>
            </w:r>
            <w:r>
              <w:t>conomique Européen (EEE)</w:t>
            </w:r>
          </w:p>
          <w:p w:rsidR="00964A97" w:rsidRPr="00EB42C7" w:rsidRDefault="00964A97" w:rsidP="00F839D9">
            <w:pPr>
              <w:jc w:val="both"/>
              <w:rPr>
                <w:i/>
              </w:rPr>
            </w:pPr>
            <w:r w:rsidRPr="00EB42C7">
              <w:rPr>
                <w:i/>
              </w:rPr>
              <w:t>2°) Des projets politiques qui rassemblent ou divisent au-delà de l’Union</w:t>
            </w:r>
          </w:p>
          <w:p w:rsidR="00964A97" w:rsidRDefault="00964A97" w:rsidP="00F839D9">
            <w:pPr>
              <w:jc w:val="both"/>
            </w:pPr>
            <w:r>
              <w:t>SCHENGEN</w:t>
            </w:r>
          </w:p>
          <w:p w:rsidR="00964A97" w:rsidRDefault="00964A97" w:rsidP="00F839D9">
            <w:pPr>
              <w:jc w:val="both"/>
            </w:pPr>
          </w:p>
        </w:tc>
        <w:tc>
          <w:tcPr>
            <w:tcW w:w="851" w:type="dxa"/>
          </w:tcPr>
          <w:p w:rsidR="00964A97" w:rsidRDefault="00996BB8" w:rsidP="00F839D9">
            <w:pPr>
              <w:jc w:val="both"/>
            </w:pPr>
            <w:r>
              <w:rPr>
                <w:noProof/>
                <w:lang w:eastAsia="fr-FR"/>
              </w:rPr>
              <w:pict>
                <v:shapetype id="_x0000_t202" coordsize="21600,21600" o:spt="202" path="m,l,21600r21600,l21600,xe">
                  <v:stroke joinstyle="miter"/>
                  <v:path gradientshapeok="t" o:connecttype="rect"/>
                </v:shapetype>
                <v:shape id="_x0000_s1027" type="#_x0000_t202" style="position:absolute;left:0;text-align:left;margin-left:-1.2pt;margin-top:32.6pt;width:27.75pt;height:132.75pt;z-index:251659264;mso-position-horizontal-relative:text;mso-position-vertical-relative:text" filled="f" stroked="f">
                  <v:textbox style="layout-flow:vertical;mso-layout-flow-alt:bottom-to-top">
                    <w:txbxContent>
                      <w:p w:rsidR="00BB45DD" w:rsidRPr="00BB45DD" w:rsidRDefault="00BB45DD" w:rsidP="00BB45DD">
                        <w:pPr>
                          <w:jc w:val="center"/>
                          <w:rPr>
                            <w:b/>
                            <w:sz w:val="28"/>
                            <w:szCs w:val="28"/>
                          </w:rPr>
                        </w:pPr>
                        <w:r w:rsidRPr="00BB45DD">
                          <w:rPr>
                            <w:b/>
                            <w:sz w:val="28"/>
                            <w:szCs w:val="28"/>
                          </w:rPr>
                          <w:t>Cependant</w:t>
                        </w:r>
                      </w:p>
                    </w:txbxContent>
                  </v:textbox>
                </v:shape>
              </w:pict>
            </w:r>
          </w:p>
        </w:tc>
        <w:tc>
          <w:tcPr>
            <w:tcW w:w="5111" w:type="dxa"/>
          </w:tcPr>
          <w:p w:rsidR="00964A97" w:rsidRPr="00EB42C7" w:rsidRDefault="00BC6741" w:rsidP="00F839D9">
            <w:pPr>
              <w:jc w:val="both"/>
              <w:rPr>
                <w:i/>
              </w:rPr>
            </w:pPr>
            <w:r w:rsidRPr="00EB42C7">
              <w:rPr>
                <w:i/>
              </w:rPr>
              <w:t>1°) La construction européenne en quelques dates et traités… </w:t>
            </w:r>
          </w:p>
          <w:p w:rsidR="00BC6741" w:rsidRDefault="00BC6741" w:rsidP="00F839D9">
            <w:pPr>
              <w:jc w:val="both"/>
            </w:pPr>
            <w:r>
              <w:t>Traités de Rome</w:t>
            </w:r>
          </w:p>
          <w:p w:rsidR="00BC6741" w:rsidRDefault="00BC6741" w:rsidP="00F839D9">
            <w:pPr>
              <w:jc w:val="both"/>
            </w:pPr>
            <w:r>
              <w:rPr>
                <w:rFonts w:cstheme="minorHAnsi"/>
              </w:rPr>
              <w:t>É</w:t>
            </w:r>
            <w:r>
              <w:t>largissements successifs</w:t>
            </w:r>
          </w:p>
          <w:p w:rsidR="00BC6741" w:rsidRDefault="00BC6741" w:rsidP="00F839D9">
            <w:pPr>
              <w:jc w:val="both"/>
            </w:pPr>
          </w:p>
          <w:p w:rsidR="00BC6741" w:rsidRPr="00EB42C7" w:rsidRDefault="00BC6741" w:rsidP="00BC6741">
            <w:pPr>
              <w:jc w:val="both"/>
              <w:rPr>
                <w:i/>
              </w:rPr>
            </w:pPr>
            <w:r w:rsidRPr="00EB42C7">
              <w:rPr>
                <w:i/>
              </w:rPr>
              <w:t>2°) L’Europe à petits pas est une des méthodes préconisées par les Pères fondateurs de l’Union et en fait une des forces de l’UE plutôt qu’une des faiblesses. </w:t>
            </w:r>
          </w:p>
          <w:p w:rsidR="00BC6741" w:rsidRDefault="00BC6741" w:rsidP="00BC6741">
            <w:pPr>
              <w:jc w:val="both"/>
            </w:pPr>
            <w:r>
              <w:t>Espace Schengen</w:t>
            </w:r>
          </w:p>
          <w:p w:rsidR="00BC6741" w:rsidRDefault="00BC6741" w:rsidP="00BC6741">
            <w:pPr>
              <w:jc w:val="both"/>
            </w:pPr>
            <w:r>
              <w:t>€</w:t>
            </w:r>
          </w:p>
          <w:p w:rsidR="00BC6741" w:rsidRDefault="00BC6741" w:rsidP="00F839D9">
            <w:pPr>
              <w:jc w:val="both"/>
            </w:pPr>
          </w:p>
        </w:tc>
      </w:tr>
      <w:tr w:rsidR="00964A97" w:rsidTr="00964A97">
        <w:tc>
          <w:tcPr>
            <w:tcW w:w="4644" w:type="dxa"/>
          </w:tcPr>
          <w:p w:rsidR="00964A97" w:rsidRPr="00964A97" w:rsidRDefault="00964A97" w:rsidP="00F839D9">
            <w:pPr>
              <w:jc w:val="both"/>
              <w:rPr>
                <w:b/>
              </w:rPr>
            </w:pPr>
            <w:r w:rsidRPr="00964A97">
              <w:rPr>
                <w:b/>
              </w:rPr>
              <w:t>2. </w:t>
            </w:r>
            <w:r w:rsidRPr="00964A97">
              <w:rPr>
                <w:rFonts w:cstheme="minorHAnsi"/>
                <w:b/>
              </w:rPr>
              <w:t>À</w:t>
            </w:r>
            <w:r w:rsidRPr="00964A97">
              <w:rPr>
                <w:b/>
              </w:rPr>
              <w:t xml:space="preserve"> l’échelle régionale (Europe et bassin méditerranéen) des projets qui dépassent le cadre géographique strict et dessinent une nouvelle carte géopolitique : </w:t>
            </w:r>
          </w:p>
          <w:p w:rsidR="00BC6741" w:rsidRDefault="00BC6741" w:rsidP="00F839D9">
            <w:pPr>
              <w:jc w:val="both"/>
            </w:pPr>
          </w:p>
          <w:p w:rsidR="00BC6741" w:rsidRPr="00EB42C7" w:rsidRDefault="00BC6741" w:rsidP="00F839D9">
            <w:pPr>
              <w:jc w:val="both"/>
              <w:rPr>
                <w:i/>
              </w:rPr>
            </w:pPr>
            <w:r w:rsidRPr="00EB42C7">
              <w:rPr>
                <w:i/>
              </w:rPr>
              <w:t>1°) La politique de sécurité : </w:t>
            </w:r>
          </w:p>
          <w:p w:rsidR="00964A97" w:rsidRDefault="00964A97" w:rsidP="00F839D9">
            <w:pPr>
              <w:jc w:val="both"/>
            </w:pPr>
            <w:r>
              <w:t>FRONTEX</w:t>
            </w:r>
          </w:p>
          <w:p w:rsidR="00BC6741" w:rsidRPr="00EB42C7" w:rsidRDefault="00BC6741" w:rsidP="00F839D9">
            <w:pPr>
              <w:jc w:val="both"/>
              <w:rPr>
                <w:i/>
              </w:rPr>
            </w:pPr>
            <w:r w:rsidRPr="00EB42C7">
              <w:rPr>
                <w:i/>
              </w:rPr>
              <w:t xml:space="preserve">2°) L’élargissement vers des </w:t>
            </w:r>
            <w:r w:rsidRPr="00EB42C7">
              <w:rPr>
                <w:rFonts w:cstheme="minorHAnsi"/>
                <w:i/>
              </w:rPr>
              <w:t>É</w:t>
            </w:r>
            <w:r w:rsidRPr="00EB42C7">
              <w:rPr>
                <w:i/>
              </w:rPr>
              <w:t>tats extra-européens : </w:t>
            </w:r>
          </w:p>
          <w:p w:rsidR="00964A97" w:rsidRDefault="00964A97" w:rsidP="00F839D9">
            <w:pPr>
              <w:jc w:val="both"/>
            </w:pPr>
            <w:r>
              <w:t>UPM</w:t>
            </w:r>
          </w:p>
          <w:p w:rsidR="00964A97" w:rsidRDefault="00964A97" w:rsidP="00F839D9">
            <w:pPr>
              <w:jc w:val="both"/>
            </w:pPr>
            <w:r>
              <w:t>Politique de bon voisinage</w:t>
            </w:r>
          </w:p>
          <w:p w:rsidR="00964A97" w:rsidRDefault="00964A97" w:rsidP="00F839D9">
            <w:pPr>
              <w:jc w:val="both"/>
            </w:pPr>
          </w:p>
        </w:tc>
        <w:tc>
          <w:tcPr>
            <w:tcW w:w="851" w:type="dxa"/>
          </w:tcPr>
          <w:p w:rsidR="00964A97" w:rsidRDefault="00964A97" w:rsidP="00F839D9">
            <w:pPr>
              <w:jc w:val="both"/>
            </w:pPr>
          </w:p>
        </w:tc>
        <w:tc>
          <w:tcPr>
            <w:tcW w:w="5111" w:type="dxa"/>
          </w:tcPr>
          <w:p w:rsidR="00964A97" w:rsidRPr="00BC6741" w:rsidRDefault="00BC6741" w:rsidP="00F839D9">
            <w:pPr>
              <w:jc w:val="both"/>
              <w:rPr>
                <w:b/>
              </w:rPr>
            </w:pPr>
            <w:r w:rsidRPr="00BC6741">
              <w:rPr>
                <w:b/>
              </w:rPr>
              <w:t>2. Des politiques globales de croissance et de cohésion territoriales. </w:t>
            </w:r>
          </w:p>
          <w:p w:rsidR="00BC6741" w:rsidRDefault="00BC6741" w:rsidP="00F839D9">
            <w:pPr>
              <w:jc w:val="both"/>
            </w:pPr>
          </w:p>
          <w:p w:rsidR="00BC6741" w:rsidRPr="00EB42C7" w:rsidRDefault="00BC6741" w:rsidP="00F839D9">
            <w:pPr>
              <w:jc w:val="both"/>
              <w:rPr>
                <w:i/>
              </w:rPr>
            </w:pPr>
            <w:r w:rsidRPr="00EB42C7">
              <w:rPr>
                <w:i/>
              </w:rPr>
              <w:t>1°) Quelles sont les politiques et les programmes globaux de l’Union ?</w:t>
            </w:r>
          </w:p>
          <w:p w:rsidR="00BC6741" w:rsidRDefault="00BC6741" w:rsidP="00F839D9">
            <w:pPr>
              <w:jc w:val="both"/>
            </w:pPr>
            <w:r>
              <w:t>Cohésion territoriale et croissance libérale</w:t>
            </w:r>
          </w:p>
          <w:p w:rsidR="00BC6741" w:rsidRDefault="00BC6741" w:rsidP="00F839D9">
            <w:pPr>
              <w:jc w:val="both"/>
            </w:pPr>
            <w:r>
              <w:t>FEDER</w:t>
            </w:r>
            <w:r w:rsidR="00442A73">
              <w:t xml:space="preserve"> </w:t>
            </w:r>
            <w:r>
              <w:t>FSE</w:t>
            </w:r>
          </w:p>
          <w:p w:rsidR="00BC6741" w:rsidRDefault="00BC6741" w:rsidP="00F839D9">
            <w:pPr>
              <w:jc w:val="both"/>
            </w:pPr>
            <w:r>
              <w:t>POSEI</w:t>
            </w:r>
            <w:r w:rsidR="003A0612">
              <w:t xml:space="preserve"> </w:t>
            </w:r>
            <w:r>
              <w:t>PAC</w:t>
            </w:r>
          </w:p>
          <w:p w:rsidR="00BC6741" w:rsidRPr="00EB42C7" w:rsidRDefault="00BC6741" w:rsidP="00F839D9">
            <w:pPr>
              <w:jc w:val="both"/>
              <w:rPr>
                <w:i/>
              </w:rPr>
            </w:pPr>
            <w:r w:rsidRPr="00EB42C7">
              <w:rPr>
                <w:i/>
              </w:rPr>
              <w:t>2°) Quelles sont les institutions qui pilotent ces politiques ? </w:t>
            </w:r>
          </w:p>
          <w:p w:rsidR="00BC6741" w:rsidRDefault="00BC6741" w:rsidP="00F839D9">
            <w:pPr>
              <w:jc w:val="both"/>
            </w:pPr>
            <w:r>
              <w:t>La Commission européenne</w:t>
            </w:r>
          </w:p>
          <w:p w:rsidR="00BC6741" w:rsidRDefault="00BC6741" w:rsidP="00F839D9">
            <w:pPr>
              <w:jc w:val="both"/>
            </w:pPr>
            <w:r>
              <w:t>Le Parlement européen</w:t>
            </w:r>
          </w:p>
          <w:p w:rsidR="00BC6741" w:rsidRDefault="00BC6741" w:rsidP="00F839D9">
            <w:pPr>
              <w:jc w:val="both"/>
            </w:pPr>
          </w:p>
        </w:tc>
      </w:tr>
      <w:tr w:rsidR="00BC6741" w:rsidTr="00AC4E32">
        <w:tc>
          <w:tcPr>
            <w:tcW w:w="10606" w:type="dxa"/>
            <w:gridSpan w:val="3"/>
          </w:tcPr>
          <w:p w:rsidR="00BC6741" w:rsidRPr="00BC6741" w:rsidRDefault="00BC6741" w:rsidP="00F839D9">
            <w:pPr>
              <w:jc w:val="both"/>
              <w:rPr>
                <w:b/>
              </w:rPr>
            </w:pPr>
            <w:r w:rsidRPr="00BC6741">
              <w:rPr>
                <w:b/>
              </w:rPr>
              <w:t>TRANSITION</w:t>
            </w:r>
          </w:p>
          <w:p w:rsidR="00BC6741" w:rsidRDefault="00BC6741" w:rsidP="00F839D9">
            <w:pPr>
              <w:jc w:val="both"/>
            </w:pPr>
            <w:r>
              <w:t xml:space="preserve">En effet les différents projets européens dessinent une carte fracturée de l’Union dans la mesure où les </w:t>
            </w:r>
            <w:r>
              <w:rPr>
                <w:rFonts w:cstheme="minorHAnsi"/>
              </w:rPr>
              <w:t>É</w:t>
            </w:r>
            <w:r>
              <w:t>tats ne participent pas ni aux mêmes projets ni de la même manière. </w:t>
            </w:r>
          </w:p>
          <w:p w:rsidR="00BC6741" w:rsidRDefault="00BC6741" w:rsidP="00F839D9">
            <w:pPr>
              <w:jc w:val="both"/>
            </w:pPr>
            <w:r>
              <w:t>MAIS</w:t>
            </w:r>
          </w:p>
          <w:p w:rsidR="00BC6741" w:rsidRDefault="00BC6741" w:rsidP="00F839D9">
            <w:pPr>
              <w:jc w:val="both"/>
            </w:pPr>
            <w:r>
              <w:t xml:space="preserve">Contrairement aux idées reçues, cette « géométrie variable » est autant inclusive (Elle intègre des </w:t>
            </w:r>
            <w:r>
              <w:rPr>
                <w:rFonts w:cstheme="minorHAnsi"/>
              </w:rPr>
              <w:t>É</w:t>
            </w:r>
            <w:r>
              <w:t>tats non-membres) qu’exclusive (Elle en marginalise certains s’ils ne sont pas assez riches ou économiquement stables)</w:t>
            </w:r>
          </w:p>
        </w:tc>
      </w:tr>
    </w:tbl>
    <w:p w:rsidR="00BC6741" w:rsidRDefault="00BC6741" w:rsidP="00F839D9">
      <w:pPr>
        <w:jc w:val="both"/>
        <w:rPr>
          <w:b/>
        </w:rPr>
      </w:pPr>
    </w:p>
    <w:p w:rsidR="00BC6741" w:rsidRPr="00BC6741" w:rsidRDefault="00BC6741" w:rsidP="00F839D9">
      <w:pPr>
        <w:jc w:val="both"/>
        <w:rPr>
          <w:b/>
        </w:rPr>
      </w:pPr>
      <w:r w:rsidRPr="00BC6741">
        <w:rPr>
          <w:b/>
        </w:rPr>
        <w:t>CONCLUSION</w:t>
      </w:r>
    </w:p>
    <w:p w:rsidR="00BC6741" w:rsidRPr="00964A97" w:rsidRDefault="00BC6741" w:rsidP="00F839D9">
      <w:pPr>
        <w:jc w:val="both"/>
      </w:pPr>
      <w:r>
        <w:t>L’une des particularités institutionnelles est sans doute d’être une union d’</w:t>
      </w:r>
      <w:r>
        <w:rPr>
          <w:rFonts w:cstheme="minorHAnsi"/>
        </w:rPr>
        <w:t>É</w:t>
      </w:r>
      <w:r>
        <w:t xml:space="preserve">tats à géométrie variable selon les projets : mais loin d’être une de ses faiblesses c’en est une force. Cela permet à la construction européenne de rester dynamique et créative sans exclure les </w:t>
      </w:r>
      <w:r>
        <w:rPr>
          <w:rFonts w:cstheme="minorHAnsi"/>
        </w:rPr>
        <w:t>É</w:t>
      </w:r>
      <w:r>
        <w:t>tats les moins à même de suivre le rythme de l’intégration. Cette géométrie variable ne remet en cause ni les politiques de fond de l’Union (Dont la cohésion territoriale) ni sa volonté intégratrice comme le montre l’intégration dans ses politiques d’</w:t>
      </w:r>
      <w:r>
        <w:rPr>
          <w:rFonts w:cstheme="minorHAnsi"/>
        </w:rPr>
        <w:t>É</w:t>
      </w:r>
      <w:r>
        <w:t>tats non-membres, voire d’</w:t>
      </w:r>
      <w:r>
        <w:rPr>
          <w:rFonts w:cstheme="minorHAnsi"/>
        </w:rPr>
        <w:t>É</w:t>
      </w:r>
      <w:r>
        <w:t>tats non-européens. </w:t>
      </w:r>
    </w:p>
    <w:sectPr w:rsidR="00BC6741" w:rsidRPr="00964A97" w:rsidSect="00F839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839D9"/>
    <w:rsid w:val="002F1EA8"/>
    <w:rsid w:val="003A0612"/>
    <w:rsid w:val="00442A73"/>
    <w:rsid w:val="00700647"/>
    <w:rsid w:val="00727002"/>
    <w:rsid w:val="00824F72"/>
    <w:rsid w:val="00964A97"/>
    <w:rsid w:val="00996BB8"/>
    <w:rsid w:val="009B08DF"/>
    <w:rsid w:val="00A51182"/>
    <w:rsid w:val="00B44D0E"/>
    <w:rsid w:val="00BB45DD"/>
    <w:rsid w:val="00BC6741"/>
    <w:rsid w:val="00EB42C7"/>
    <w:rsid w:val="00F839D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64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964A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6198C-F423-4BC8-98C3-DCDCAC88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432</Words>
  <Characters>2379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2013-05-03T20:47:00Z</dcterms:created>
  <dcterms:modified xsi:type="dcterms:W3CDTF">2013-05-05T21:31:00Z</dcterms:modified>
</cp:coreProperties>
</file>