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E9" w:rsidRDefault="00EA12E9" w:rsidP="00EA12E9">
      <w:pPr>
        <w:spacing w:line="240" w:lineRule="auto"/>
        <w:jc w:val="both"/>
      </w:pPr>
      <w:r>
        <w:pict>
          <v:group id="_x0000_s1026" editas="canvas" style="width:756.8pt;height:485pt;mso-position-horizontal-relative:char;mso-position-vertical-relative:line" coordorigin="4830,2070" coordsize="7200,46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30;top:2070;width:7200;height:461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03;top:2118;width:2990;height:199" stroked="f">
              <v:textbox>
                <w:txbxContent>
                  <w:p w:rsidR="00EA12E9" w:rsidRPr="0013001D" w:rsidRDefault="00EA12E9" w:rsidP="00EA12E9">
                    <w:pPr>
                      <w:spacing w:line="240" w:lineRule="auto"/>
                      <w:jc w:val="both"/>
                      <w:rPr>
                        <w:b/>
                        <w:sz w:val="20"/>
                        <w:szCs w:val="20"/>
                      </w:rPr>
                    </w:pPr>
                    <w:r w:rsidRPr="0013001D">
                      <w:rPr>
                        <w:b/>
                        <w:sz w:val="24"/>
                        <w:szCs w:val="24"/>
                      </w:rPr>
                      <w:t>I</w:t>
                    </w:r>
                    <w:r w:rsidRPr="0013001D">
                      <w:rPr>
                        <w:b/>
                        <w:sz w:val="20"/>
                        <w:szCs w:val="20"/>
                      </w:rPr>
                      <w:t>. Le Pacifique, une aire maritime en voie d’intégration économique … </w:t>
                    </w:r>
                  </w:p>
                </w:txbxContent>
              </v:textbox>
            </v:shape>
            <v:shape id="_x0000_s1029" type="#_x0000_t202" style="position:absolute;left:4903;top:3209;width:6294;height:227" stroked="f">
              <v:textbox>
                <w:txbxContent>
                  <w:p w:rsidR="00EA12E9" w:rsidRPr="0013001D" w:rsidRDefault="00EA12E9" w:rsidP="00EA12E9">
                    <w:pPr>
                      <w:spacing w:line="240" w:lineRule="auto"/>
                      <w:jc w:val="both"/>
                      <w:rPr>
                        <w:b/>
                        <w:sz w:val="20"/>
                        <w:szCs w:val="20"/>
                      </w:rPr>
                    </w:pPr>
                    <w:r w:rsidRPr="0013001D">
                      <w:rPr>
                        <w:b/>
                        <w:sz w:val="24"/>
                        <w:szCs w:val="24"/>
                      </w:rPr>
                      <w:t>II</w:t>
                    </w:r>
                    <w:r w:rsidRPr="0013001D">
                      <w:rPr>
                        <w:b/>
                        <w:sz w:val="20"/>
                        <w:szCs w:val="20"/>
                      </w:rPr>
                      <w:t>. … Abritant parmi les plus grandes puissances économiques de la planète et accueillant des centres d’impulsion d’échelles régionales et mondiales … </w:t>
                    </w:r>
                  </w:p>
                </w:txbxContent>
              </v:textbox>
            </v:shape>
            <v:shape id="_x0000_s1030" type="#_x0000_t202" style="position:absolute;left:4903;top:5157;width:5737;height:227" stroked="f">
              <v:textbox>
                <w:txbxContent>
                  <w:p w:rsidR="00EA12E9" w:rsidRPr="0013001D" w:rsidRDefault="00EA12E9" w:rsidP="00EA12E9">
                    <w:pPr>
                      <w:spacing w:line="240" w:lineRule="auto"/>
                      <w:jc w:val="both"/>
                      <w:rPr>
                        <w:b/>
                        <w:sz w:val="20"/>
                        <w:szCs w:val="20"/>
                      </w:rPr>
                    </w:pPr>
                    <w:r w:rsidRPr="0013001D">
                      <w:rPr>
                        <w:b/>
                        <w:sz w:val="24"/>
                        <w:szCs w:val="24"/>
                      </w:rPr>
                      <w:t>III</w:t>
                    </w:r>
                    <w:r w:rsidRPr="0013001D">
                      <w:rPr>
                        <w:b/>
                        <w:sz w:val="20"/>
                        <w:szCs w:val="20"/>
                      </w:rPr>
                      <w:t xml:space="preserve">. … Organisée par </w:t>
                    </w:r>
                    <w:r>
                      <w:rPr>
                        <w:b/>
                        <w:sz w:val="20"/>
                        <w:szCs w:val="20"/>
                      </w:rPr>
                      <w:t>des flux qui irriguent</w:t>
                    </w:r>
                    <w:r w:rsidRPr="0013001D">
                      <w:rPr>
                        <w:b/>
                        <w:sz w:val="20"/>
                        <w:szCs w:val="20"/>
                      </w:rPr>
                      <w:t xml:space="preserve"> le reste de l’espace mondial</w:t>
                    </w:r>
                    <w:r>
                      <w:rPr>
                        <w:b/>
                        <w:sz w:val="20"/>
                        <w:szCs w:val="20"/>
                      </w:rPr>
                      <w:t xml:space="preserve"> faisant de l’aire Pacifique la plaque tournante de l’économie mondiale. </w:t>
                    </w:r>
                  </w:p>
                </w:txbxContent>
              </v:textbox>
            </v:shape>
            <v:shape id="_x0000_s1031" type="#_x0000_t202" style="position:absolute;left:5402;top:2382;width:6401;height:171" stroked="f">
              <v:textbox>
                <w:txbxContent>
                  <w:p w:rsidR="00EA12E9" w:rsidRPr="004A79B9" w:rsidRDefault="00EA12E9" w:rsidP="00EA12E9">
                    <w:pPr>
                      <w:spacing w:line="240" w:lineRule="auto"/>
                      <w:jc w:val="both"/>
                      <w:rPr>
                        <w:sz w:val="16"/>
                        <w:szCs w:val="16"/>
                      </w:rPr>
                    </w:pPr>
                    <w:r w:rsidRPr="004A79B9">
                      <w:rPr>
                        <w:sz w:val="16"/>
                        <w:szCs w:val="16"/>
                      </w:rPr>
                      <w:t xml:space="preserve">L’Océan Pacifique, le plus </w:t>
                    </w:r>
                    <w:r>
                      <w:rPr>
                        <w:sz w:val="16"/>
                        <w:szCs w:val="16"/>
                      </w:rPr>
                      <w:t>grand océan de la planète avec 170 millions de Km². C’est aussi le plus dangereux frappé par des cyclones, des tsunamis et des phénomènes telluriques.</w:t>
                    </w:r>
                  </w:p>
                </w:txbxContent>
              </v:textbox>
            </v:shape>
            <v:rect id="_x0000_s1032" style="position:absolute;left:4903;top:2382;width:436;height:171" fillcolor="white [3212]"/>
            <v:rect id="_x0000_s1033" style="position:absolute;left:4888;top:2931;width:436;height:170" strokecolor="black [3213]" strokeweight=".25pt"/>
            <v:shape id="_x0000_s1034" type="#_x0000_t202" style="position:absolute;left:5402;top:2931;width:3618;height:170" stroked="f">
              <v:textbox>
                <w:txbxContent>
                  <w:p w:rsidR="00EA12E9" w:rsidRPr="004A79B9" w:rsidRDefault="00EA12E9" w:rsidP="00EA12E9">
                    <w:pPr>
                      <w:spacing w:line="240" w:lineRule="auto"/>
                      <w:jc w:val="both"/>
                      <w:rPr>
                        <w:sz w:val="16"/>
                        <w:szCs w:val="16"/>
                      </w:rPr>
                    </w:pPr>
                    <w:r w:rsidRPr="004A79B9">
                      <w:rPr>
                        <w:sz w:val="16"/>
                        <w:szCs w:val="16"/>
                      </w:rPr>
                      <w:t>L</w:t>
                    </w:r>
                    <w:r>
                      <w:rPr>
                        <w:sz w:val="16"/>
                        <w:szCs w:val="16"/>
                      </w:rPr>
                      <w:t>es pays riverains du Pacifique membre de l’APEC (</w:t>
                    </w:r>
                    <w:proofErr w:type="spellStart"/>
                    <w:r w:rsidRPr="001978F6">
                      <w:rPr>
                        <w:i/>
                        <w:sz w:val="16"/>
                        <w:szCs w:val="16"/>
                      </w:rPr>
                      <w:t>Asia</w:t>
                    </w:r>
                    <w:proofErr w:type="spellEnd"/>
                    <w:r w:rsidRPr="001978F6">
                      <w:rPr>
                        <w:i/>
                        <w:sz w:val="16"/>
                        <w:szCs w:val="16"/>
                      </w:rPr>
                      <w:t xml:space="preserve">-Pacific </w:t>
                    </w:r>
                    <w:proofErr w:type="spellStart"/>
                    <w:r w:rsidRPr="001978F6">
                      <w:rPr>
                        <w:i/>
                        <w:sz w:val="16"/>
                        <w:szCs w:val="16"/>
                      </w:rPr>
                      <w:t>Economic</w:t>
                    </w:r>
                    <w:proofErr w:type="spellEnd"/>
                    <w:r w:rsidRPr="001978F6">
                      <w:rPr>
                        <w:i/>
                        <w:sz w:val="16"/>
                        <w:szCs w:val="16"/>
                      </w:rPr>
                      <w:t xml:space="preserve"> Coopération</w:t>
                    </w:r>
                    <w:r>
                      <w:rPr>
                        <w:sz w:val="16"/>
                        <w:szCs w:val="16"/>
                      </w:rPr>
                      <w:t xml:space="preserve"> fondée en 1989). </w:t>
                    </w:r>
                  </w:p>
                </w:txbxContent>
              </v:textbox>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5" type="#_x0000_t12" style="position:absolute;left:5032;top:2595;width:199;height:236" fillcolor="white [3212]"/>
            <v:shape id="_x0000_s1036" type="#_x0000_t202" style="position:absolute;left:5402;top:2660;width:3254;height:171" stroked="f">
              <v:textbox>
                <w:txbxContent>
                  <w:p w:rsidR="00EA12E9" w:rsidRPr="004A79B9" w:rsidRDefault="00EA12E9" w:rsidP="00EA12E9">
                    <w:pPr>
                      <w:spacing w:line="240" w:lineRule="auto"/>
                      <w:jc w:val="both"/>
                      <w:rPr>
                        <w:sz w:val="16"/>
                        <w:szCs w:val="16"/>
                      </w:rPr>
                    </w:pPr>
                    <w:r w:rsidRPr="004A79B9">
                      <w:rPr>
                        <w:sz w:val="16"/>
                        <w:szCs w:val="16"/>
                      </w:rPr>
                      <w:t xml:space="preserve">Les passages maritimes stratégiques </w:t>
                    </w:r>
                    <w:r>
                      <w:rPr>
                        <w:sz w:val="16"/>
                        <w:szCs w:val="16"/>
                      </w:rPr>
                      <w:t xml:space="preserve">et des détroits remarquables </w:t>
                    </w:r>
                    <w:r w:rsidRPr="004A79B9">
                      <w:rPr>
                        <w:sz w:val="16"/>
                        <w:szCs w:val="16"/>
                      </w:rPr>
                      <w:t>bordent l’Océan Pacifique. </w:t>
                    </w:r>
                  </w:p>
                </w:txbxContent>
              </v:textbox>
            </v:shape>
            <v:rect id="_x0000_s1037" style="position:absolute;left:4903;top:3517;width:436;height:170" filled="f" fillcolor="red"/>
            <v:rect id="_x0000_s1038" style="position:absolute;left:4903;top:3752;width:436;height:171" filled="f" fillcolor="#ffc000"/>
            <v:rect id="_x0000_s1039" style="position:absolute;left:4903;top:4095;width:436;height:170" filled="f" fillcolor="black [3213]">
              <v:fill color2="white [3212]" type="pattern"/>
            </v:rect>
            <v:shape id="_x0000_s1040" type="#_x0000_t202" style="position:absolute;left:5402;top:3516;width:5174;height:171" stroked="f">
              <v:textbox>
                <w:txbxContent>
                  <w:p w:rsidR="00EA12E9" w:rsidRPr="004A79B9" w:rsidRDefault="00EA12E9" w:rsidP="00EA12E9">
                    <w:pPr>
                      <w:spacing w:line="240" w:lineRule="auto"/>
                      <w:jc w:val="both"/>
                      <w:rPr>
                        <w:sz w:val="16"/>
                        <w:szCs w:val="16"/>
                      </w:rPr>
                    </w:pPr>
                    <w:r>
                      <w:rPr>
                        <w:sz w:val="16"/>
                        <w:szCs w:val="16"/>
                      </w:rPr>
                      <w:t>Pays constituant la Triade (Amérique du Nord, Europe de l’Ouest et Japon+NPIA de 1</w:t>
                    </w:r>
                    <w:r w:rsidRPr="0013001D">
                      <w:rPr>
                        <w:sz w:val="16"/>
                        <w:szCs w:val="16"/>
                        <w:vertAlign w:val="superscript"/>
                      </w:rPr>
                      <w:t>ère</w:t>
                    </w:r>
                    <w:r>
                      <w:rPr>
                        <w:sz w:val="16"/>
                        <w:szCs w:val="16"/>
                      </w:rPr>
                      <w:t xml:space="preserve"> génération). Le PIB/habitant/an/PPA≥22,000$ et l’IDH≥0,920</w:t>
                    </w:r>
                    <w:r w:rsidRPr="004A79B9">
                      <w:rPr>
                        <w:sz w:val="16"/>
                        <w:szCs w:val="16"/>
                      </w:rPr>
                      <w:t>. </w:t>
                    </w:r>
                  </w:p>
                </w:txbxContent>
              </v:textbox>
            </v:shape>
            <v:roundrect id="_x0000_s1041" style="position:absolute;left:4903;top:4437;width:436;height:163" arcsize="10923f" strokecolor="black [3213]" strokeweight=".25pt"/>
            <v:shape id="_x0000_s1042" type="#_x0000_t202" style="position:absolute;left:5402;top:3752;width:6628;height:250" stroked="f">
              <v:textbox>
                <w:txbxContent>
                  <w:p w:rsidR="00EA12E9" w:rsidRPr="004A79B9" w:rsidRDefault="00EA12E9" w:rsidP="00EA12E9">
                    <w:pPr>
                      <w:spacing w:line="240" w:lineRule="auto"/>
                      <w:jc w:val="both"/>
                      <w:rPr>
                        <w:sz w:val="16"/>
                        <w:szCs w:val="16"/>
                      </w:rPr>
                    </w:pPr>
                    <w:r>
                      <w:rPr>
                        <w:sz w:val="16"/>
                        <w:szCs w:val="16"/>
                      </w:rPr>
                      <w:t>Pays appartenant au groupe BRIC (Brésil, Russie, Inde et Chine. Le PIB/habitant/an/PPA≥10,000$ et l’IDH≥0,800</w:t>
                    </w:r>
                    <w:r w:rsidRPr="004A79B9">
                      <w:rPr>
                        <w:sz w:val="16"/>
                        <w:szCs w:val="16"/>
                      </w:rPr>
                      <w:t>. </w:t>
                    </w:r>
                    <w:r>
                      <w:rPr>
                        <w:sz w:val="16"/>
                        <w:szCs w:val="16"/>
                      </w:rPr>
                      <w:t>La Chine est le pays « atelier du monde » eu égard au très grand nombre de délocalisations d’entreprises occidentales qu’elle accueille. </w:t>
                    </w:r>
                  </w:p>
                </w:txbxContent>
              </v:textbox>
            </v:shape>
            <v:shape id="_x0000_s1043" type="#_x0000_t202" style="position:absolute;left:5881;top:4095;width:6086;height:249" stroked="f">
              <v:textbox>
                <w:txbxContent>
                  <w:p w:rsidR="00EA12E9" w:rsidRPr="004A79B9" w:rsidRDefault="00EA12E9" w:rsidP="00EA12E9">
                    <w:pPr>
                      <w:spacing w:line="240" w:lineRule="auto"/>
                      <w:jc w:val="both"/>
                      <w:rPr>
                        <w:sz w:val="16"/>
                        <w:szCs w:val="16"/>
                      </w:rPr>
                    </w:pPr>
                    <w:r>
                      <w:rPr>
                        <w:sz w:val="16"/>
                        <w:szCs w:val="16"/>
                      </w:rPr>
                      <w:t>NPIA – 2 (Nouveaux Pays Industrialisés d’Asie de 2</w:t>
                    </w:r>
                    <w:r w:rsidRPr="00407ADB">
                      <w:rPr>
                        <w:sz w:val="16"/>
                        <w:szCs w:val="16"/>
                        <w:vertAlign w:val="superscript"/>
                      </w:rPr>
                      <w:t>e</w:t>
                    </w:r>
                    <w:r>
                      <w:rPr>
                        <w:sz w:val="16"/>
                        <w:szCs w:val="16"/>
                      </w:rPr>
                      <w:t xml:space="preserve"> génération) et NPI (Nouveaux pays Industrialisés). Ces derniers sont souvent situés en Amérique du Sud et l’Argentine et le Chili sont les premiers NPI du cône Sud. . Le PIB/habitant/an/PPA≥9,000$ et l’IDH≥0,700</w:t>
                    </w:r>
                    <w:r w:rsidRPr="004A79B9">
                      <w:rPr>
                        <w:sz w:val="16"/>
                        <w:szCs w:val="16"/>
                      </w:rPr>
                      <w:t>. </w:t>
                    </w:r>
                  </w:p>
                </w:txbxContent>
              </v:textbox>
            </v:shape>
            <v:rect id="_x0000_s1044" style="position:absolute;left:5339;top:4094;width:436;height:171" filled="f" fillcolor="yellow"/>
            <v:shape id="_x0000_s1045" type="#_x0000_t202" style="position:absolute;left:5402;top:4437;width:6628;height:264" stroked="f">
              <v:textbox>
                <w:txbxContent>
                  <w:p w:rsidR="00EA12E9" w:rsidRPr="004A79B9" w:rsidRDefault="00EA12E9" w:rsidP="00EA12E9">
                    <w:pPr>
                      <w:spacing w:line="240" w:lineRule="auto"/>
                      <w:jc w:val="both"/>
                      <w:rPr>
                        <w:sz w:val="16"/>
                        <w:szCs w:val="16"/>
                      </w:rPr>
                    </w:pPr>
                    <w:r>
                      <w:rPr>
                        <w:sz w:val="16"/>
                        <w:szCs w:val="16"/>
                      </w:rPr>
                      <w:t>Mégalopole japonaise : sur 1200 km de long une concentration unique de 110 millions de consommateurs à très fort pouvoir d’achat et de producteurs aux formations poussées.</w:t>
                    </w:r>
                    <w:r w:rsidRPr="004A79B9">
                      <w:rPr>
                        <w:sz w:val="16"/>
                        <w:szCs w:val="16"/>
                      </w:rPr>
                      <w:t> </w:t>
                    </w:r>
                    <w:r>
                      <w:rPr>
                        <w:sz w:val="16"/>
                        <w:szCs w:val="16"/>
                      </w:rPr>
                      <w:t>C’est une des trois mégalopoles du monde et la deuxième place financière de la planète (Bourse de TOKYO). </w:t>
                    </w:r>
                  </w:p>
                </w:txbxContent>
              </v:textbox>
            </v:shape>
            <v:oval id="_x0000_s1046" style="position:absolute;left:4903;top:4801;width:235;height:214" strokecolor="black [3213]" strokeweight=".25pt"/>
            <v:oval id="_x0000_s1047" style="position:absolute;left:5210;top:4801;width:235;height:214" strokecolor="black [3213]" strokeweight=".25pt"/>
            <v:shape id="_x0000_s1048" type="#_x0000_t202" style="position:absolute;left:6381;top:4745;width:5586;height:363" stroked="f">
              <v:textbox>
                <w:txbxContent>
                  <w:p w:rsidR="00EA12E9" w:rsidRPr="004A79B9" w:rsidRDefault="00EA12E9" w:rsidP="00EA12E9">
                    <w:pPr>
                      <w:spacing w:line="240" w:lineRule="auto"/>
                      <w:jc w:val="both"/>
                      <w:rPr>
                        <w:sz w:val="16"/>
                        <w:szCs w:val="16"/>
                      </w:rPr>
                    </w:pPr>
                    <w:r>
                      <w:rPr>
                        <w:sz w:val="16"/>
                        <w:szCs w:val="16"/>
                      </w:rPr>
                      <w:t xml:space="preserve">Eléments majeurs de l’archipel métropolitain mondial : métropoles mondiales et régionales. Centres d’impulsion de la mondialisation les métropoles mondiales en concentrant les lieux de pouvoirs (économiques, culturels et politiques) émettent des flux qui organisent l’espace et sont les destinataires premiers des flux entrant. Ces métropoles accueillent aussi des aéroports puissants faisant chacun </w:t>
                    </w:r>
                    <w:proofErr w:type="gramStart"/>
                    <w:r>
                      <w:rPr>
                        <w:sz w:val="16"/>
                        <w:szCs w:val="16"/>
                      </w:rPr>
                      <w:t>transiter</w:t>
                    </w:r>
                    <w:proofErr w:type="gramEnd"/>
                    <w:r>
                      <w:rPr>
                        <w:sz w:val="16"/>
                        <w:szCs w:val="16"/>
                      </w:rPr>
                      <w:t xml:space="preserve"> chaque année plus de 60 millions de passagers.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9" type="#_x0000_t69" style="position:absolute;left:4903;top:5465;width:448;height:199" filled="f" fillcolor="#00b0f0" strokecolor="black [3213]" strokeweight=".25pt"/>
            <v:shape id="_x0000_s1050" type="#_x0000_t69" style="position:absolute;left:5018;top:5607;width:449;height:99" filled="f" fillcolor="#00b0f0" strokecolor="black [3213]" strokeweight=".25pt"/>
            <v:rect id="_x0000_s1051" style="position:absolute;left:4953;top:5806;width:214;height:201" filled="f" fillcolor="red" strokecolor="black [3213]"/>
            <v:shape id="_x0000_s1052" type="#_x0000_t202" style="position:absolute;left:5530;top:5493;width:1507;height:171" stroked="f">
              <v:textbox>
                <w:txbxContent>
                  <w:p w:rsidR="00EA12E9" w:rsidRPr="004A79B9" w:rsidRDefault="00EA12E9" w:rsidP="00EA12E9">
                    <w:pPr>
                      <w:spacing w:line="240" w:lineRule="auto"/>
                      <w:jc w:val="both"/>
                      <w:rPr>
                        <w:sz w:val="16"/>
                        <w:szCs w:val="16"/>
                      </w:rPr>
                    </w:pPr>
                    <w:r>
                      <w:rPr>
                        <w:sz w:val="16"/>
                        <w:szCs w:val="16"/>
                      </w:rPr>
                      <w:t>Flux maritimes majeurs et secondaires.</w:t>
                    </w:r>
                    <w:r w:rsidRPr="004A79B9">
                      <w:rPr>
                        <w:sz w:val="16"/>
                        <w:szCs w:val="16"/>
                      </w:rPr>
                      <w:t> </w:t>
                    </w:r>
                  </w:p>
                </w:txbxContent>
              </v:textbox>
            </v:shape>
            <v:shape id="_x0000_s1053" type="#_x0000_t202" style="position:absolute;left:5530;top:5708;width:6437;height:299" stroked="f">
              <v:textbox>
                <w:txbxContent>
                  <w:p w:rsidR="00EA12E9" w:rsidRPr="004A79B9" w:rsidRDefault="00EA12E9" w:rsidP="00EA12E9">
                    <w:pPr>
                      <w:spacing w:line="240" w:lineRule="auto"/>
                      <w:jc w:val="both"/>
                      <w:rPr>
                        <w:sz w:val="16"/>
                        <w:szCs w:val="16"/>
                      </w:rPr>
                    </w:pPr>
                    <w:r>
                      <w:rPr>
                        <w:sz w:val="16"/>
                        <w:szCs w:val="16"/>
                      </w:rPr>
                      <w:t>Principaux ensembles industrialo-portuaires de l’aire Pacifique. La façade maritime asiatique est la première façade maritime mondiale, comptant 16 ports dans le top 20 mondial dont les 1</w:t>
                    </w:r>
                    <w:r w:rsidRPr="00080EF1">
                      <w:rPr>
                        <w:sz w:val="16"/>
                        <w:szCs w:val="16"/>
                        <w:vertAlign w:val="superscript"/>
                      </w:rPr>
                      <w:t>er</w:t>
                    </w:r>
                    <w:r>
                      <w:rPr>
                        <w:sz w:val="16"/>
                        <w:szCs w:val="16"/>
                      </w:rPr>
                      <w:t>, 2</w:t>
                    </w:r>
                    <w:r w:rsidRPr="00080EF1">
                      <w:rPr>
                        <w:sz w:val="16"/>
                        <w:szCs w:val="16"/>
                        <w:vertAlign w:val="superscript"/>
                      </w:rPr>
                      <w:t>e</w:t>
                    </w:r>
                    <w:r>
                      <w:rPr>
                        <w:sz w:val="16"/>
                        <w:szCs w:val="16"/>
                      </w:rPr>
                      <w:t xml:space="preserve"> et 3</w:t>
                    </w:r>
                    <w:r w:rsidRPr="00080EF1">
                      <w:rPr>
                        <w:sz w:val="16"/>
                        <w:szCs w:val="16"/>
                        <w:vertAlign w:val="superscript"/>
                      </w:rPr>
                      <w:t>e</w:t>
                    </w:r>
                    <w:r>
                      <w:rPr>
                        <w:sz w:val="16"/>
                        <w:szCs w:val="16"/>
                      </w:rPr>
                      <w:t xml:space="preserve"> premiers ports mondiaux en tonnage et en conteneurs. Chaque port réalise plus de 60 millions de tonnes échangées chaque année. (560 millions pour Shanghai).</w:t>
                    </w:r>
                  </w:p>
                </w:txbxContent>
              </v:textbox>
            </v:shape>
            <v:shapetype id="_x0000_t32" coordsize="21600,21600" o:spt="32" o:oned="t" path="m,l21600,21600e" filled="f">
              <v:path arrowok="t" fillok="f" o:connecttype="none"/>
              <o:lock v:ext="edit" shapetype="t"/>
            </v:shapetype>
            <v:shape id="_x0000_s1054" type="#_x0000_t32" style="position:absolute;left:4903;top:6146;width:386;height:1" o:connectortype="straight" strokecolor="black [3213]" strokeweight=".25pt">
              <v:stroke endarrow="block"/>
            </v:shape>
            <v:shape id="_x0000_s1055" type="#_x0000_t202" style="position:absolute;left:5530;top:6065;width:6500;height:212" stroked="f">
              <v:textbox>
                <w:txbxContent>
                  <w:p w:rsidR="00EA12E9" w:rsidRPr="004A79B9" w:rsidRDefault="00EA12E9" w:rsidP="00EA12E9">
                    <w:pPr>
                      <w:spacing w:line="240" w:lineRule="auto"/>
                      <w:jc w:val="both"/>
                      <w:rPr>
                        <w:sz w:val="16"/>
                        <w:szCs w:val="16"/>
                      </w:rPr>
                    </w:pPr>
                    <w:r>
                      <w:rPr>
                        <w:sz w:val="16"/>
                        <w:szCs w:val="16"/>
                      </w:rPr>
                      <w:t>Flux démographiques.</w:t>
                    </w:r>
                    <w:r w:rsidRPr="004A79B9">
                      <w:rPr>
                        <w:sz w:val="16"/>
                        <w:szCs w:val="16"/>
                      </w:rPr>
                      <w:t> </w:t>
                    </w:r>
                    <w:r>
                      <w:rPr>
                        <w:sz w:val="16"/>
                        <w:szCs w:val="16"/>
                      </w:rPr>
                      <w:t>Il s’agit essentiellement de flux de travailleurs peu qualifiés philippins (qui vont préférentiellement vers les Etats-Unis) et indonésiens (qui vont dans les Etats du Golfe persique.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4880;top:6277;width:330;height:243" strokecolor="black [3213]" strokeweight=".25pt"/>
            <v:shape id="_x0000_s1057" type="#_x0000_t202" style="position:absolute;left:5530;top:6391;width:6437;height:257" stroked="f">
              <v:textbox>
                <w:txbxContent>
                  <w:p w:rsidR="00EA12E9" w:rsidRPr="004A79B9" w:rsidRDefault="00EA12E9" w:rsidP="00EA12E9">
                    <w:pPr>
                      <w:spacing w:line="240" w:lineRule="auto"/>
                      <w:jc w:val="both"/>
                      <w:rPr>
                        <w:sz w:val="16"/>
                        <w:szCs w:val="16"/>
                      </w:rPr>
                    </w:pPr>
                    <w:r>
                      <w:rPr>
                        <w:sz w:val="16"/>
                        <w:szCs w:val="16"/>
                      </w:rPr>
                      <w:t>Flux majeurs d’IDE (Investissements Directs Etrangers) : ils manifestent la dépendance et partant la fragilité d’une grande partie des économies de l’aire Pacifique.</w:t>
                    </w:r>
                    <w:r w:rsidRPr="004A79B9">
                      <w:rPr>
                        <w:sz w:val="16"/>
                        <w:szCs w:val="16"/>
                      </w:rPr>
                      <w:t> </w:t>
                    </w:r>
                    <w:r>
                      <w:rPr>
                        <w:sz w:val="16"/>
                        <w:szCs w:val="16"/>
                      </w:rPr>
                      <w:t>Mais la présence de flux financiers chinois manifeste la puissance économique nouvelle de la République populaire de Chine dans l’aire Pacifique. </w:t>
                    </w:r>
                  </w:p>
                </w:txbxContent>
              </v:textbox>
            </v:shape>
            <v:oval id="_x0000_s1058" style="position:absolute;left:5301;top:4913;width:103;height:102" strokecolor="black [3213]" strokeweight=".25pt"/>
            <v:shape id="_x0000_s1059" type="#_x0000_t32" style="position:absolute;left:5353;top:4913;width:242;height:1" o:connectortype="straight" strokecolor="#ffc000" strokeweight="1.5pt">
              <v:stroke dashstyle="1 1" endcap="round"/>
            </v:shape>
            <v:shape id="_x0000_s1060" type="#_x0000_t32" style="position:absolute;left:5328;top:4801;width:265;height:11" o:connectortype="straight" strokecolor="#ffc000" strokeweight="1.5pt">
              <v:stroke dashstyle="1 1" endcap="round"/>
            </v:shape>
            <v:shape id="_x0000_s1061" type="#_x0000_t202" style="position:absolute;left:5552;top:4701;width:892;height:187" filled="f" stroked="f">
              <v:textbox>
                <w:txbxContent>
                  <w:p w:rsidR="00EA12E9" w:rsidRPr="00DA5B09" w:rsidRDefault="00EA12E9" w:rsidP="00EA12E9">
                    <w:pPr>
                      <w:rPr>
                        <w:sz w:val="16"/>
                        <w:szCs w:val="16"/>
                      </w:rPr>
                    </w:pPr>
                    <w:r>
                      <w:rPr>
                        <w:sz w:val="16"/>
                        <w:szCs w:val="16"/>
                      </w:rPr>
                      <w:t>≥4millions d’habitants</w:t>
                    </w:r>
                  </w:p>
                </w:txbxContent>
              </v:textbox>
            </v:shape>
            <v:shape id="_x0000_s1062" type="#_x0000_t202" style="position:absolute;left:5552;top:4815;width:892;height:187" filled="f" stroked="f">
              <v:textbox>
                <w:txbxContent>
                  <w:p w:rsidR="00EA12E9" w:rsidRPr="00DA5B09" w:rsidRDefault="00EA12E9" w:rsidP="00EA12E9">
                    <w:pPr>
                      <w:rPr>
                        <w:sz w:val="16"/>
                        <w:szCs w:val="16"/>
                      </w:rPr>
                    </w:pPr>
                    <w:r>
                      <w:rPr>
                        <w:sz w:val="16"/>
                        <w:szCs w:val="16"/>
                      </w:rPr>
                      <w:t>≤500,000 d’habitants</w:t>
                    </w:r>
                  </w:p>
                </w:txbxContent>
              </v:textbox>
            </v:shape>
            <v:shape id="_x0000_s1063" type="#_x0000_t13" style="position:absolute;left:5138;top:6391;width:186;height:171" strokecolor="black [3213]" strokeweight=".25pt"/>
            <v:shape id="_x0000_s1064" style="position:absolute;left:7139;top:5465;width:597;height:139" coordsize="1256,291" path="m,228v29,-2,58,-4,171,c284,232,497,291,678,253,859,215,1057,107,1256,e" filled="f" strokecolor="black [3213]" strokeweight=".25pt">
              <v:stroke dashstyle="1 1"/>
              <v:path arrowok="t"/>
            </v:shape>
            <v:shape id="_x0000_s1065" type="#_x0000_t202" style="position:absolute;left:7820;top:5465;width:4210;height:241" stroked="f">
              <v:textbox>
                <w:txbxContent>
                  <w:p w:rsidR="00EA12E9" w:rsidRPr="004A79B9" w:rsidRDefault="00EA12E9" w:rsidP="00EA12E9">
                    <w:pPr>
                      <w:spacing w:line="240" w:lineRule="auto"/>
                      <w:jc w:val="both"/>
                      <w:rPr>
                        <w:sz w:val="16"/>
                        <w:szCs w:val="16"/>
                      </w:rPr>
                    </w:pPr>
                    <w:r>
                      <w:rPr>
                        <w:sz w:val="16"/>
                        <w:szCs w:val="16"/>
                      </w:rPr>
                      <w:t>Ponts intermodaux (Voies aériennes, routières et ferroviaires) ils relient les façades maritimes par voie terrestres leur conférant ainsi un hinterland continental.</w:t>
                    </w:r>
                    <w:r w:rsidRPr="004A79B9">
                      <w:rPr>
                        <w:sz w:val="16"/>
                        <w:szCs w:val="16"/>
                      </w:rPr>
                      <w:t> </w:t>
                    </w:r>
                  </w:p>
                </w:txbxContent>
              </v:textbox>
            </v:shape>
            <v:rect id="_x0000_s1066" style="position:absolute;left:4830;top:2892;width:572;height:257" filled="f" strokecolor="black [3213]" strokeweight=".25pt"/>
            <w10:wrap type="none"/>
            <w10:anchorlock/>
          </v:group>
        </w:pict>
      </w:r>
    </w:p>
    <w:p w:rsidR="00CD6D75" w:rsidRDefault="00CD6D75" w:rsidP="00EA12E9">
      <w:pPr>
        <w:spacing w:line="240" w:lineRule="auto"/>
        <w:jc w:val="both"/>
      </w:pPr>
    </w:p>
    <w:sectPr w:rsidR="00CD6D75" w:rsidSect="004A79B9">
      <w:pgSz w:w="16838" w:h="11906" w:orient="landscape"/>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A12E9"/>
    <w:rsid w:val="00790B3A"/>
    <w:rsid w:val="00CD6D75"/>
    <w:rsid w:val="00E63AC7"/>
    <w:rsid w:val="00EA12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13]"/>
    </o:shapedefaults>
    <o:shapelayout v:ext="edit">
      <o:idmap v:ext="edit" data="1"/>
      <o:rules v:ext="edit">
        <o:r id="V:Rule1" type="connector" idref="#_x0000_s1054"/>
        <o:r id="V:Rule2" type="connector" idref="#_x0000_s1059">
          <o:proxy start="" idref="#_x0000_s1058" connectloc="0"/>
        </o:r>
        <o:r id="V:Rule3" type="connector" idref="#_x0000_s1060">
          <o:proxy start="" idref="#_x0000_s104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Words>
  <Characters>26</Characters>
  <Application>Microsoft Office Word</Application>
  <DocSecurity>0</DocSecurity>
  <Lines>1</Lines>
  <Paragraphs>1</Paragraphs>
  <ScaleCrop>false</ScaleCrop>
  <Company>Lycée Jean Renoir</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2010-05-17T22:24:00Z</dcterms:created>
  <dcterms:modified xsi:type="dcterms:W3CDTF">2010-05-17T22:29:00Z</dcterms:modified>
</cp:coreProperties>
</file>