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A4" w:rsidRDefault="00116EA4" w:rsidP="00116EA4">
      <w:pPr>
        <w:jc w:val="center"/>
      </w:pPr>
      <w:r w:rsidRPr="000266F4">
        <w:rPr>
          <w:b/>
          <w:u w:val="single"/>
        </w:rPr>
        <w:t>Schéma.</w:t>
      </w:r>
      <w:r>
        <w:t> « Centres et périphéries : </w:t>
      </w:r>
      <w:smartTag w:uri="urn:schemas-microsoft-com:office:smarttags" w:element="PersonName">
        <w:smartTagPr>
          <w:attr w:name="ProductID" w:val="la Triade"/>
        </w:smartTagPr>
        <w:r>
          <w:t>la Triade</w:t>
        </w:r>
      </w:smartTag>
      <w:r>
        <w:t xml:space="preserve"> et ses concurrents les BRIC. »</w:t>
      </w:r>
    </w:p>
    <w:p w:rsidR="00116EA4" w:rsidRDefault="00116EA4" w:rsidP="00116EA4">
      <w:pPr>
        <w:jc w:val="both"/>
      </w:pPr>
      <w:r>
        <w:rPr>
          <w:noProof/>
        </w:rPr>
      </w:r>
      <w:r>
        <w:pict>
          <v:group id="_x0000_s1027" editas="canvas" style="width:510.05pt;height:729pt;mso-position-horizontal-relative:char;mso-position-vertical-relative:line" coordorigin="2351,-686" coordsize="7201,102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51;top:-686;width:7201;height:10290" o:preferrelative="f">
              <v:fill o:detectmouseclick="t"/>
              <v:path o:extrusionok="t" o:connecttype="none"/>
              <o:lock v:ext="edit" text="t"/>
            </v:shape>
            <v:oval id="_x0000_s1029" style="position:absolute;left:5231;top:2490;width:1694;height:1651" fillcolor="yellow">
              <v:fill opacity=".5"/>
            </v:oval>
            <v:rect id="_x0000_s1030" style="position:absolute;left:3537;top:4141;width:510;height:506" fillcolor="#f90">
              <v:fill r:id="rId4" o:title="Diagonales larges vers le haut" type="pattern"/>
            </v:rect>
            <v:rect id="_x0000_s1031" style="position:absolute;left:7688;top:4777;width:509;height:507" fillcolor="#f90">
              <v:fill r:id="rId4" o:title="Diagonales larges vers le haut" type="pattern"/>
            </v:rect>
            <v:rect id="_x0000_s1032" style="position:absolute;left:7603;top:1347;width:507;height:509" fillcolor="#f90">
              <v:fill r:id="rId4" o:title="Diagonales larges vers le haut" type="pattern"/>
            </v:rect>
            <v:rect id="_x0000_s1033" style="position:absolute;left:5655;top:330;width:847;height:762" fillcolor="#f90">
              <v:fill r:id="rId4" o:title="Diagonales larges vers le haut" type="pattern"/>
            </v:rect>
            <v:oval id="_x0000_s1034" style="position:absolute;left:4723;top:1982;width:2626;height:2668" filled="f" strokecolor="blue" strokeweight="6pt"/>
            <v:oval id="_x0000_s1035" style="position:absolute;left:3876;top:1220;width:4236;height:4319" filled="f" strokecolor="blue" strokeweight="3pt">
              <v:stroke dashstyle="1 1"/>
            </v:oval>
            <v:oval id="_x0000_s1036" style="position:absolute;left:6417;top:3507;width:1100;height:1145" fillcolor="red"/>
            <v:oval id="_x0000_s1037" style="position:absolute;left:4553;top:3125;width:1104;height:1143" fillcolor="red"/>
            <v:oval id="_x0000_s1038" style="position:absolute;left:4215;top:3760;width:679;height:638" fillcolor="red">
              <v:fill r:id="rId4" o:title="Diagonales larges vers le haut" type="pattern"/>
            </v:oval>
            <v:oval id="_x0000_s1039" style="position:absolute;left:5485;top:1601;width:1104;height:1145" fillcolor="red"/>
            <v:oval id="_x0000_s1040" style="position:absolute;left:5655;top:1220;width:679;height:631" fillcolor="red">
              <v:fill r:id="rId4" o:title="Diagonales larges vers le haut" type="pattern"/>
            </v:oval>
            <v:oval id="_x0000_s1041" style="position:absolute;left:7010;top:4141;width:677;height:641" fillcolor="red">
              <v:fill r:id="rId4" o:title="Diagonales larges vers le haut" type="pattern"/>
            </v:oval>
            <v:rect id="_x0000_s1042" style="position:absolute;left:7434;top:4523;width:509;height:508" fillcolor="#fc0"/>
            <v:rect id="_x0000_s1043" style="position:absolute;left:7264;top:1728;width:509;height:509" fillcolor="#f90"/>
            <v:rect id="_x0000_s1044" style="position:absolute;left:5824;top:965;width:511;height:508" fillcolor="#fc0"/>
            <v:shapetype id="_x0000_t202" coordsize="21600,21600" o:spt="202" path="m,l,21600r21600,l21600,xe">
              <v:stroke joinstyle="miter"/>
              <v:path gradientshapeok="t" o:connecttype="rect"/>
            </v:shapetype>
            <v:shape id="_x0000_s1045" type="#_x0000_t202" style="position:absolute;left:3876;top:2363;width:1525;height:508">
              <v:textbox style="mso-next-textbox:#_x0000_s1045">
                <w:txbxContent>
                  <w:p w:rsidR="00116EA4" w:rsidRPr="00AE564E" w:rsidRDefault="00116EA4" w:rsidP="00116EA4">
                    <w:pPr>
                      <w:jc w:val="center"/>
                      <w:rPr>
                        <w:sz w:val="20"/>
                        <w:szCs w:val="20"/>
                      </w:rPr>
                    </w:pPr>
                    <w:r>
                      <w:rPr>
                        <w:sz w:val="20"/>
                        <w:szCs w:val="20"/>
                      </w:rPr>
                      <w:t xml:space="preserve">Pôle asiatique de </w:t>
                    </w:r>
                    <w:smartTag w:uri="urn:schemas-microsoft-com:office:smarttags" w:element="PersonName">
                      <w:smartTagPr>
                        <w:attr w:name="ProductID" w:val="la Triade"/>
                      </w:smartTagPr>
                      <w:r>
                        <w:rPr>
                          <w:sz w:val="20"/>
                          <w:szCs w:val="20"/>
                        </w:rPr>
                        <w:t>la Triade</w:t>
                      </w:r>
                    </w:smartTag>
                    <w:r>
                      <w:rPr>
                        <w:sz w:val="20"/>
                        <w:szCs w:val="20"/>
                      </w:rPr>
                      <w:t> : Japon+NPIA1</w:t>
                    </w:r>
                  </w:p>
                </w:txbxContent>
              </v:textbox>
            </v:shape>
            <v:shape id="_x0000_s1046" type="#_x0000_t202" style="position:absolute;left:4553;top:1093;width:847;height:379">
              <v:textbox style="mso-next-textbox:#_x0000_s1046">
                <w:txbxContent>
                  <w:p w:rsidR="00116EA4" w:rsidRPr="00D450DC" w:rsidRDefault="00116EA4" w:rsidP="00116EA4">
                    <w:pPr>
                      <w:jc w:val="center"/>
                      <w:rPr>
                        <w:sz w:val="20"/>
                        <w:szCs w:val="20"/>
                      </w:rPr>
                    </w:pPr>
                    <w:r>
                      <w:rPr>
                        <w:sz w:val="20"/>
                        <w:szCs w:val="20"/>
                      </w:rPr>
                      <w:t>Chine</w:t>
                    </w:r>
                  </w:p>
                </w:txbxContent>
              </v:textbox>
            </v:shape>
            <v:shape id="_x0000_s1047" type="#_x0000_t202" style="position:absolute;left:3876;top:1601;width:1524;height:636">
              <v:textbox style="mso-next-textbox:#_x0000_s1047">
                <w:txbxContent>
                  <w:p w:rsidR="00116EA4" w:rsidRPr="00AE564E" w:rsidRDefault="00116EA4" w:rsidP="00116EA4">
                    <w:pPr>
                      <w:jc w:val="center"/>
                      <w:rPr>
                        <w:sz w:val="20"/>
                        <w:szCs w:val="20"/>
                      </w:rPr>
                    </w:pPr>
                    <w:r>
                      <w:rPr>
                        <w:sz w:val="20"/>
                        <w:szCs w:val="20"/>
                      </w:rPr>
                      <w:t xml:space="preserve">NPIA2 et pays émergents de </w:t>
                    </w:r>
                    <w:smartTag w:uri="urn:schemas-microsoft-com:office:smarttags" w:element="PersonName">
                      <w:smartTagPr>
                        <w:attr w:name="ProductID" w:val="la Mer"/>
                      </w:smartTagPr>
                      <w:r>
                        <w:rPr>
                          <w:sz w:val="20"/>
                          <w:szCs w:val="20"/>
                        </w:rPr>
                        <w:t>la Mer</w:t>
                      </w:r>
                    </w:smartTag>
                    <w:r>
                      <w:rPr>
                        <w:sz w:val="20"/>
                        <w:szCs w:val="20"/>
                      </w:rPr>
                      <w:t xml:space="preserve"> de Chine</w:t>
                    </w:r>
                  </w:p>
                </w:txbxContent>
              </v:textbox>
            </v:shape>
            <v:shape id="_x0000_s1048" type="#_x0000_t202" style="position:absolute;left:4045;top:203;width:1355;height:763">
              <v:textbox style="mso-next-textbox:#_x0000_s1048">
                <w:txbxContent>
                  <w:p w:rsidR="00116EA4" w:rsidRPr="00D450DC" w:rsidRDefault="00116EA4" w:rsidP="00116EA4">
                    <w:pPr>
                      <w:jc w:val="center"/>
                      <w:rPr>
                        <w:sz w:val="20"/>
                        <w:szCs w:val="20"/>
                      </w:rPr>
                    </w:pPr>
                    <w:r>
                      <w:rPr>
                        <w:sz w:val="20"/>
                        <w:szCs w:val="20"/>
                      </w:rPr>
                      <w:t xml:space="preserve">Zone d’influence de </w:t>
                    </w:r>
                    <w:smartTag w:uri="urn:schemas-microsoft-com:office:smarttags" w:element="PersonName">
                      <w:smartTagPr>
                        <w:attr w:name="ProductID" w:val="la Chine"/>
                      </w:smartTagPr>
                      <w:r>
                        <w:rPr>
                          <w:sz w:val="20"/>
                          <w:szCs w:val="20"/>
                        </w:rPr>
                        <w:t>la Chine</w:t>
                      </w:r>
                    </w:smartTag>
                    <w:r>
                      <w:rPr>
                        <w:sz w:val="20"/>
                        <w:szCs w:val="20"/>
                      </w:rPr>
                      <w:t>, Birmanie, Mongolie, Tibet, Corée et Sri Lanka</w:t>
                    </w:r>
                  </w:p>
                </w:txbxContent>
              </v:textbox>
            </v:shape>
            <v:shape id="_x0000_s1049" type="#_x0000_t202" style="position:absolute;left:7434;top:3125;width:1100;height:635">
              <v:textbox style="mso-next-textbox:#_x0000_s1049">
                <w:txbxContent>
                  <w:p w:rsidR="00116EA4" w:rsidRPr="00D450DC" w:rsidRDefault="00116EA4" w:rsidP="00116EA4">
                    <w:pPr>
                      <w:jc w:val="center"/>
                      <w:rPr>
                        <w:sz w:val="20"/>
                        <w:szCs w:val="20"/>
                      </w:rPr>
                    </w:pPr>
                    <w:r>
                      <w:rPr>
                        <w:sz w:val="20"/>
                        <w:szCs w:val="20"/>
                      </w:rPr>
                      <w:t xml:space="preserve">Pôle européen de </w:t>
                    </w:r>
                    <w:smartTag w:uri="urn:schemas-microsoft-com:office:smarttags" w:element="PersonName">
                      <w:smartTagPr>
                        <w:attr w:name="ProductID" w:val="la Triade"/>
                      </w:smartTagPr>
                      <w:r>
                        <w:rPr>
                          <w:sz w:val="20"/>
                          <w:szCs w:val="20"/>
                        </w:rPr>
                        <w:t>la Triade</w:t>
                      </w:r>
                    </w:smartTag>
                    <w:r>
                      <w:rPr>
                        <w:sz w:val="20"/>
                        <w:szCs w:val="20"/>
                      </w:rPr>
                      <w:t> : EEE</w:t>
                    </w:r>
                  </w:p>
                </w:txbxContent>
              </v:textbox>
            </v:shape>
            <v:shape id="_x0000_s1050" type="#_x0000_t202" style="position:absolute;left:7772;top:3887;width:761;height:510">
              <v:textbox style="mso-next-textbox:#_x0000_s1050">
                <w:txbxContent>
                  <w:p w:rsidR="00116EA4" w:rsidRPr="00D450DC" w:rsidRDefault="00116EA4" w:rsidP="00116EA4">
                    <w:pPr>
                      <w:jc w:val="center"/>
                      <w:rPr>
                        <w:sz w:val="20"/>
                        <w:szCs w:val="20"/>
                      </w:rPr>
                    </w:pPr>
                    <w:r>
                      <w:rPr>
                        <w:sz w:val="20"/>
                        <w:szCs w:val="20"/>
                      </w:rPr>
                      <w:t>PECO et CEI</w:t>
                    </w:r>
                  </w:p>
                </w:txbxContent>
              </v:textbox>
            </v:shape>
            <v:shape id="_x0000_s1051" type="#_x0000_t202" style="position:absolute;left:7857;top:5412;width:763;height:383">
              <v:textbox style="mso-next-textbox:#_x0000_s1051">
                <w:txbxContent>
                  <w:p w:rsidR="00116EA4" w:rsidRPr="000C0D1F" w:rsidRDefault="00116EA4" w:rsidP="00116EA4">
                    <w:pPr>
                      <w:rPr>
                        <w:sz w:val="20"/>
                        <w:szCs w:val="20"/>
                      </w:rPr>
                    </w:pPr>
                    <w:r>
                      <w:rPr>
                        <w:sz w:val="20"/>
                        <w:szCs w:val="20"/>
                      </w:rPr>
                      <w:t>Caucase</w:t>
                    </w:r>
                  </w:p>
                </w:txbxContent>
              </v:textbox>
            </v:shape>
            <v:shape id="_x0000_s1052" type="#_x0000_t202" style="position:absolute;left:6841;top:5158;width:761;height:379">
              <v:textbox style="mso-next-textbox:#_x0000_s1052">
                <w:txbxContent>
                  <w:p w:rsidR="00116EA4" w:rsidRPr="000C0D1F" w:rsidRDefault="00116EA4" w:rsidP="00116EA4">
                    <w:pPr>
                      <w:rPr>
                        <w:sz w:val="20"/>
                        <w:szCs w:val="20"/>
                      </w:rPr>
                    </w:pPr>
                    <w:r>
                      <w:rPr>
                        <w:sz w:val="20"/>
                        <w:szCs w:val="20"/>
                      </w:rPr>
                      <w:t>Russie</w:t>
                    </w:r>
                  </w:p>
                </w:txbxContent>
              </v:textbox>
            </v:shape>
            <v:shape id="_x0000_s1053" type="#_x0000_t202" style="position:absolute;left:7264;top:2363;width:508;height:381">
              <v:textbox style="mso-next-textbox:#_x0000_s1053">
                <w:txbxContent>
                  <w:p w:rsidR="00116EA4" w:rsidRPr="000C0D1F" w:rsidRDefault="00116EA4" w:rsidP="00116EA4">
                    <w:pPr>
                      <w:rPr>
                        <w:sz w:val="20"/>
                        <w:szCs w:val="20"/>
                      </w:rPr>
                    </w:pPr>
                    <w:r>
                      <w:rPr>
                        <w:sz w:val="20"/>
                        <w:szCs w:val="20"/>
                      </w:rPr>
                      <w:t>Inde</w:t>
                    </w:r>
                  </w:p>
                </w:txbxContent>
              </v:textbox>
            </v:shape>
            <v:shape id="_x0000_s1054" type="#_x0000_t202" style="position:absolute;left:8196;top:1093;width:1101;height:762">
              <v:textbox style="mso-next-textbox:#_x0000_s1054">
                <w:txbxContent>
                  <w:p w:rsidR="00116EA4" w:rsidRPr="000C0D1F" w:rsidRDefault="00116EA4" w:rsidP="00116EA4">
                    <w:pPr>
                      <w:jc w:val="center"/>
                      <w:rPr>
                        <w:sz w:val="20"/>
                        <w:szCs w:val="20"/>
                      </w:rPr>
                    </w:pPr>
                    <w:r>
                      <w:rPr>
                        <w:sz w:val="20"/>
                        <w:szCs w:val="20"/>
                      </w:rPr>
                      <w:t>Versants méridionaux de l’Himalaya et Sri Lanka</w:t>
                    </w:r>
                  </w:p>
                </w:txbxContent>
              </v:textbox>
            </v:shape>
            <v:rect id="_x0000_s1055" style="position:absolute;left:3876;top:4014;width:509;height:509" fillcolor="#fc0"/>
            <v:shape id="_x0000_s1056" type="#_x0000_t202" style="position:absolute;left:5231;top:3761;width:1100;height:635">
              <v:textbox style="mso-next-textbox:#_x0000_s1056">
                <w:txbxContent>
                  <w:p w:rsidR="00116EA4" w:rsidRPr="000C0D1F" w:rsidRDefault="00116EA4" w:rsidP="00116EA4">
                    <w:pPr>
                      <w:jc w:val="center"/>
                      <w:rPr>
                        <w:sz w:val="20"/>
                        <w:szCs w:val="20"/>
                      </w:rPr>
                    </w:pPr>
                    <w:r>
                      <w:rPr>
                        <w:sz w:val="20"/>
                        <w:szCs w:val="20"/>
                      </w:rPr>
                      <w:t xml:space="preserve">Pôle américain de </w:t>
                    </w:r>
                    <w:smartTag w:uri="urn:schemas-microsoft-com:office:smarttags" w:element="PersonName">
                      <w:smartTagPr>
                        <w:attr w:name="ProductID" w:val="la Triade"/>
                      </w:smartTagPr>
                      <w:r>
                        <w:rPr>
                          <w:sz w:val="20"/>
                          <w:szCs w:val="20"/>
                        </w:rPr>
                        <w:t>la Triade</w:t>
                      </w:r>
                    </w:smartTag>
                    <w:r>
                      <w:rPr>
                        <w:sz w:val="20"/>
                        <w:szCs w:val="20"/>
                      </w:rPr>
                      <w:t> : ALENA</w:t>
                    </w:r>
                  </w:p>
                </w:txbxContent>
              </v:textbox>
            </v:shape>
            <v:shape id="_x0000_s1057" type="#_x0000_t202" style="position:absolute;left:2605;top:7571;width:6607;height:1652">
              <v:textbox style="mso-next-textbox:#_x0000_s1057">
                <w:txbxContent>
                  <w:p w:rsidR="00116EA4" w:rsidRPr="000C0D1F" w:rsidRDefault="00116EA4" w:rsidP="00116EA4">
                    <w:pPr>
                      <w:rPr>
                        <w:b/>
                        <w:sz w:val="20"/>
                        <w:szCs w:val="20"/>
                      </w:rPr>
                    </w:pPr>
                    <w:r w:rsidRPr="000C0D1F">
                      <w:rPr>
                        <w:b/>
                        <w:sz w:val="20"/>
                        <w:szCs w:val="20"/>
                      </w:rPr>
                      <w:t>Table des sigles : </w:t>
                    </w:r>
                  </w:p>
                  <w:p w:rsidR="00116EA4" w:rsidRPr="000C0D1F" w:rsidRDefault="00116EA4" w:rsidP="00116EA4">
                    <w:pPr>
                      <w:rPr>
                        <w:sz w:val="20"/>
                        <w:szCs w:val="20"/>
                      </w:rPr>
                    </w:pPr>
                    <w:r w:rsidRPr="000C0D1F">
                      <w:rPr>
                        <w:sz w:val="20"/>
                        <w:szCs w:val="20"/>
                      </w:rPr>
                      <w:t>AELE</w:t>
                    </w:r>
                    <w:r w:rsidRPr="000C0D1F">
                      <w:rPr>
                        <w:sz w:val="20"/>
                        <w:szCs w:val="20"/>
                      </w:rPr>
                      <w:tab/>
                    </w:r>
                    <w:r w:rsidRPr="000C0D1F">
                      <w:rPr>
                        <w:sz w:val="20"/>
                        <w:szCs w:val="20"/>
                      </w:rPr>
                      <w:tab/>
                      <w:t>Accord Européen de Libre Echange</w:t>
                    </w:r>
                  </w:p>
                  <w:p w:rsidR="00116EA4" w:rsidRDefault="00116EA4" w:rsidP="00116EA4">
                    <w:pPr>
                      <w:rPr>
                        <w:sz w:val="20"/>
                        <w:szCs w:val="20"/>
                      </w:rPr>
                    </w:pPr>
                    <w:r w:rsidRPr="000C0D1F">
                      <w:rPr>
                        <w:sz w:val="20"/>
                        <w:szCs w:val="20"/>
                      </w:rPr>
                      <w:t>ALENA</w:t>
                    </w:r>
                    <w:r w:rsidRPr="000C0D1F">
                      <w:rPr>
                        <w:sz w:val="20"/>
                        <w:szCs w:val="20"/>
                      </w:rPr>
                      <w:tab/>
                      <w:t>Accord Nord Américain de Libre Echange</w:t>
                    </w:r>
                  </w:p>
                  <w:p w:rsidR="00116EA4" w:rsidRPr="000C0D1F" w:rsidRDefault="00116EA4" w:rsidP="00116EA4">
                    <w:pPr>
                      <w:rPr>
                        <w:sz w:val="20"/>
                        <w:szCs w:val="20"/>
                      </w:rPr>
                    </w:pPr>
                    <w:r>
                      <w:rPr>
                        <w:sz w:val="20"/>
                        <w:szCs w:val="20"/>
                      </w:rPr>
                      <w:t>BRIC</w:t>
                    </w:r>
                    <w:r>
                      <w:rPr>
                        <w:sz w:val="20"/>
                        <w:szCs w:val="20"/>
                      </w:rPr>
                      <w:tab/>
                    </w:r>
                    <w:r>
                      <w:rPr>
                        <w:sz w:val="20"/>
                        <w:szCs w:val="20"/>
                      </w:rPr>
                      <w:tab/>
                      <w:t>Brésil Russie Inde et Chine. </w:t>
                    </w:r>
                  </w:p>
                  <w:p w:rsidR="00116EA4" w:rsidRPr="000C0D1F" w:rsidRDefault="00116EA4" w:rsidP="00116EA4">
                    <w:pPr>
                      <w:rPr>
                        <w:sz w:val="20"/>
                        <w:szCs w:val="20"/>
                      </w:rPr>
                    </w:pPr>
                    <w:r w:rsidRPr="000C0D1F">
                      <w:rPr>
                        <w:sz w:val="20"/>
                        <w:szCs w:val="20"/>
                      </w:rPr>
                      <w:t>CEI</w:t>
                    </w:r>
                    <w:r w:rsidRPr="000C0D1F">
                      <w:rPr>
                        <w:sz w:val="20"/>
                        <w:szCs w:val="20"/>
                      </w:rPr>
                      <w:tab/>
                    </w:r>
                    <w:r w:rsidRPr="000C0D1F">
                      <w:rPr>
                        <w:sz w:val="20"/>
                        <w:szCs w:val="20"/>
                      </w:rPr>
                      <w:tab/>
                      <w:t>Communauté des Etats Indépendants</w:t>
                    </w:r>
                  </w:p>
                  <w:p w:rsidR="00116EA4" w:rsidRDefault="00116EA4" w:rsidP="00116EA4">
                    <w:pPr>
                      <w:rPr>
                        <w:sz w:val="20"/>
                        <w:szCs w:val="20"/>
                      </w:rPr>
                    </w:pPr>
                    <w:r w:rsidRPr="000C0D1F">
                      <w:rPr>
                        <w:sz w:val="20"/>
                        <w:szCs w:val="20"/>
                      </w:rPr>
                      <w:t>EEE</w:t>
                    </w:r>
                    <w:r w:rsidRPr="000C0D1F">
                      <w:rPr>
                        <w:sz w:val="20"/>
                        <w:szCs w:val="20"/>
                      </w:rPr>
                      <w:tab/>
                    </w:r>
                    <w:r w:rsidRPr="000C0D1F">
                      <w:rPr>
                        <w:sz w:val="20"/>
                        <w:szCs w:val="20"/>
                      </w:rPr>
                      <w:tab/>
                      <w:t>Espace Economique Européen (UE+AELE+Suisse)</w:t>
                    </w:r>
                  </w:p>
                  <w:p w:rsidR="00116EA4" w:rsidRDefault="00116EA4" w:rsidP="00116EA4">
                    <w:pPr>
                      <w:rPr>
                        <w:sz w:val="20"/>
                        <w:szCs w:val="20"/>
                      </w:rPr>
                    </w:pPr>
                    <w:r>
                      <w:rPr>
                        <w:sz w:val="20"/>
                        <w:szCs w:val="20"/>
                      </w:rPr>
                      <w:t>IDE</w:t>
                    </w:r>
                    <w:r>
                      <w:rPr>
                        <w:sz w:val="20"/>
                        <w:szCs w:val="20"/>
                      </w:rPr>
                      <w:tab/>
                    </w:r>
                    <w:r>
                      <w:rPr>
                        <w:sz w:val="20"/>
                        <w:szCs w:val="20"/>
                      </w:rPr>
                      <w:tab/>
                      <w:t>Investissements Directs Etrangers</w:t>
                    </w:r>
                  </w:p>
                  <w:p w:rsidR="00116EA4" w:rsidRPr="000C0D1F" w:rsidRDefault="00116EA4" w:rsidP="00116EA4">
                    <w:pPr>
                      <w:rPr>
                        <w:sz w:val="20"/>
                        <w:szCs w:val="20"/>
                      </w:rPr>
                    </w:pPr>
                    <w:r>
                      <w:rPr>
                        <w:sz w:val="20"/>
                        <w:szCs w:val="20"/>
                      </w:rPr>
                      <w:t>MERCOSUR</w:t>
                    </w:r>
                    <w:r>
                      <w:rPr>
                        <w:sz w:val="20"/>
                        <w:szCs w:val="20"/>
                      </w:rPr>
                      <w:tab/>
                    </w:r>
                    <w:proofErr w:type="spellStart"/>
                    <w:r w:rsidRPr="002C45CD">
                      <w:rPr>
                        <w:i/>
                        <w:sz w:val="20"/>
                        <w:szCs w:val="20"/>
                      </w:rPr>
                      <w:t>Mercado</w:t>
                    </w:r>
                    <w:proofErr w:type="spellEnd"/>
                    <w:r w:rsidRPr="002C45CD">
                      <w:rPr>
                        <w:i/>
                        <w:sz w:val="20"/>
                        <w:szCs w:val="20"/>
                      </w:rPr>
                      <w:t xml:space="preserve"> </w:t>
                    </w:r>
                    <w:proofErr w:type="spellStart"/>
                    <w:r w:rsidRPr="002C45CD">
                      <w:rPr>
                        <w:i/>
                        <w:sz w:val="20"/>
                        <w:szCs w:val="20"/>
                      </w:rPr>
                      <w:t>Comùn</w:t>
                    </w:r>
                    <w:proofErr w:type="spellEnd"/>
                    <w:r w:rsidRPr="002C45CD">
                      <w:rPr>
                        <w:i/>
                        <w:sz w:val="20"/>
                        <w:szCs w:val="20"/>
                      </w:rPr>
                      <w:t xml:space="preserve"> </w:t>
                    </w:r>
                    <w:proofErr w:type="spellStart"/>
                    <w:r w:rsidRPr="002C45CD">
                      <w:rPr>
                        <w:i/>
                        <w:sz w:val="20"/>
                        <w:szCs w:val="20"/>
                      </w:rPr>
                      <w:t>del</w:t>
                    </w:r>
                    <w:proofErr w:type="spellEnd"/>
                    <w:r w:rsidRPr="002C45CD">
                      <w:rPr>
                        <w:i/>
                        <w:sz w:val="20"/>
                        <w:szCs w:val="20"/>
                      </w:rPr>
                      <w:t xml:space="preserve"> Sur</w:t>
                    </w:r>
                    <w:r>
                      <w:rPr>
                        <w:sz w:val="20"/>
                        <w:szCs w:val="20"/>
                      </w:rPr>
                      <w:t>/Marché commun du Sud de l’Amérique latine</w:t>
                    </w:r>
                  </w:p>
                  <w:p w:rsidR="00116EA4" w:rsidRPr="000C0D1F" w:rsidRDefault="00116EA4" w:rsidP="00116EA4">
                    <w:pPr>
                      <w:rPr>
                        <w:sz w:val="20"/>
                        <w:szCs w:val="20"/>
                      </w:rPr>
                    </w:pPr>
                    <w:r w:rsidRPr="000C0D1F">
                      <w:rPr>
                        <w:sz w:val="20"/>
                        <w:szCs w:val="20"/>
                      </w:rPr>
                      <w:t>PECO</w:t>
                    </w:r>
                    <w:r w:rsidRPr="000C0D1F">
                      <w:rPr>
                        <w:sz w:val="20"/>
                        <w:szCs w:val="20"/>
                      </w:rPr>
                      <w:tab/>
                    </w:r>
                    <w:r w:rsidRPr="000C0D1F">
                      <w:rPr>
                        <w:sz w:val="20"/>
                        <w:szCs w:val="20"/>
                      </w:rPr>
                      <w:tab/>
                      <w:t>Pays de l’Europe Centrale et Orientale</w:t>
                    </w:r>
                  </w:p>
                </w:txbxContent>
              </v:textbox>
            </v:shape>
            <v:shape id="_x0000_s1058" type="#_x0000_t202" style="position:absolute;left:4469;top:4523;width:1440;height:508">
              <v:textbox style="mso-next-textbox:#_x0000_s1058">
                <w:txbxContent>
                  <w:p w:rsidR="00116EA4" w:rsidRPr="005B3AC9" w:rsidRDefault="00116EA4" w:rsidP="00116EA4">
                    <w:pPr>
                      <w:jc w:val="center"/>
                      <w:rPr>
                        <w:sz w:val="20"/>
                        <w:szCs w:val="20"/>
                      </w:rPr>
                    </w:pPr>
                    <w:r>
                      <w:rPr>
                        <w:sz w:val="20"/>
                        <w:szCs w:val="20"/>
                      </w:rPr>
                      <w:t>Amérique centrale et Bolivie</w:t>
                    </w:r>
                  </w:p>
                </w:txbxContent>
              </v:textbox>
            </v:shape>
            <v:shape id="_x0000_s1059" type="#_x0000_t202" style="position:absolute;left:3113;top:3633;width:762;height:254">
              <v:textbox style="mso-next-textbox:#_x0000_s1059">
                <w:txbxContent>
                  <w:p w:rsidR="00116EA4" w:rsidRPr="005B3AC9" w:rsidRDefault="00116EA4" w:rsidP="00116EA4">
                    <w:pPr>
                      <w:jc w:val="center"/>
                      <w:rPr>
                        <w:sz w:val="20"/>
                        <w:szCs w:val="20"/>
                      </w:rPr>
                    </w:pPr>
                    <w:r>
                      <w:rPr>
                        <w:sz w:val="20"/>
                        <w:szCs w:val="20"/>
                      </w:rPr>
                      <w:t>Brésil</w:t>
                    </w:r>
                  </w:p>
                </w:txbxContent>
              </v:textbox>
            </v:shape>
            <v:shape id="_x0000_s1060" type="#_x0000_t202" style="position:absolute;left:2351;top:4141;width:1100;height:507">
              <v:textbox style="mso-next-textbox:#_x0000_s1060">
                <w:txbxContent>
                  <w:p w:rsidR="00116EA4" w:rsidRPr="005B3AC9" w:rsidRDefault="00116EA4" w:rsidP="00116EA4">
                    <w:pPr>
                      <w:rPr>
                        <w:sz w:val="20"/>
                        <w:szCs w:val="20"/>
                      </w:rPr>
                    </w:pPr>
                    <w:r>
                      <w:rPr>
                        <w:sz w:val="20"/>
                        <w:szCs w:val="20"/>
                      </w:rPr>
                      <w:t>MERCOSUR et Pacte andin</w:t>
                    </w:r>
                  </w:p>
                </w:txbxContent>
              </v:textbox>
            </v:shape>
            <v:line id="_x0000_s1061" style="position:absolute" from="6078,3252" to="8196,5285" strokecolor="blue" strokeweight="6pt"/>
            <v:line id="_x0000_s1062" style="position:absolute;flip:x" from="3537,3252" to="6163,4650" strokecolor="blue" strokeweight="6pt"/>
            <v:line id="_x0000_s1063" style="position:absolute;flip:y" from="6078,330" to="6079,3252" strokecolor="blue" strokeweight="6pt"/>
            <v:oval id="_x0000_s1064" style="position:absolute;left:5824;top:3125;width:424;height:381" fillcolor="blue"/>
            <v:line id="_x0000_s1065" style="position:absolute;flip:y" from="6078,1347" to="8111,3379" strokecolor="blue" strokeweight="6pt"/>
            <w10:wrap type="none"/>
            <w10:anchorlock/>
          </v:group>
        </w:pict>
      </w:r>
    </w:p>
    <w:p w:rsidR="00116EA4" w:rsidRDefault="00116EA4" w:rsidP="00116EA4">
      <w:pPr>
        <w:jc w:val="both"/>
      </w:pPr>
    </w:p>
    <w:p w:rsidR="00116EA4" w:rsidRDefault="00116EA4" w:rsidP="00116EA4">
      <w:pPr>
        <w:rPr>
          <w:b/>
          <w:sz w:val="20"/>
          <w:szCs w:val="20"/>
        </w:rPr>
      </w:pPr>
    </w:p>
    <w:p w:rsidR="00116EA4" w:rsidRDefault="00116EA4" w:rsidP="00116EA4">
      <w:pPr>
        <w:rPr>
          <w:b/>
          <w:sz w:val="20"/>
          <w:szCs w:val="20"/>
        </w:rPr>
      </w:pPr>
      <w:r>
        <w:rPr>
          <w:b/>
          <w:noProof/>
          <w:sz w:val="20"/>
          <w:szCs w:val="20"/>
        </w:rPr>
      </w:r>
      <w:r w:rsidRPr="00C12A07">
        <w:rPr>
          <w:b/>
          <w:sz w:val="20"/>
          <w:szCs w:val="20"/>
        </w:rPr>
        <w:pict>
          <v:group id="_x0000_s1066" editas="canvas" style="width:510.1pt;height:603pt;mso-position-horizontal-relative:char;mso-position-vertical-relative:line" coordorigin="2351,-498" coordsize="7202,8513">
            <o:lock v:ext="edit" aspectratio="t"/>
            <v:shape id="_x0000_s1067" type="#_x0000_t75" style="position:absolute;left:2351;top:-498;width:7202;height:8513" o:preferrelative="f">
              <v:fill o:detectmouseclick="t"/>
              <v:path o:extrusionok="t" o:connecttype="none"/>
              <o:lock v:ext="edit" text="t"/>
            </v:shape>
            <v:shape id="_x0000_s1068" type="#_x0000_t202" style="position:absolute;left:2436;top:-371;width:6946;height:381" stroked="f">
              <v:textbox style="mso-next-textbox:#_x0000_s1068">
                <w:txbxContent>
                  <w:p w:rsidR="00116EA4" w:rsidRPr="00C12A07" w:rsidRDefault="00116EA4" w:rsidP="00116EA4">
                    <w:pPr>
                      <w:rPr>
                        <w:b/>
                        <w:sz w:val="20"/>
                        <w:szCs w:val="20"/>
                      </w:rPr>
                    </w:pPr>
                    <w:r>
                      <w:rPr>
                        <w:b/>
                        <w:sz w:val="20"/>
                        <w:szCs w:val="20"/>
                      </w:rPr>
                      <w:t>Légende : </w:t>
                    </w:r>
                  </w:p>
                </w:txbxContent>
              </v:textbox>
            </v:shape>
            <v:shape id="_x0000_s1069" type="#_x0000_t202" style="position:absolute;left:2520;top:-117;width:3897;height:381" stroked="f">
              <v:textbox style="mso-next-textbox:#_x0000_s1069">
                <w:txbxContent>
                  <w:p w:rsidR="00116EA4" w:rsidRPr="00C12A07" w:rsidRDefault="00116EA4" w:rsidP="00116EA4">
                    <w:pPr>
                      <w:rPr>
                        <w:b/>
                        <w:sz w:val="20"/>
                        <w:szCs w:val="20"/>
                      </w:rPr>
                    </w:pPr>
                    <w:r w:rsidRPr="00C12A07">
                      <w:rPr>
                        <w:b/>
                        <w:sz w:val="20"/>
                        <w:szCs w:val="20"/>
                      </w:rPr>
                      <w:t>I. </w:t>
                    </w:r>
                    <w:smartTag w:uri="urn:schemas-microsoft-com:office:smarttags" w:element="PersonName">
                      <w:smartTagPr>
                        <w:attr w:name="ProductID" w:val="la Triade"/>
                      </w:smartTagPr>
                      <w:r w:rsidRPr="00C12A07">
                        <w:rPr>
                          <w:b/>
                          <w:sz w:val="20"/>
                          <w:szCs w:val="20"/>
                        </w:rPr>
                        <w:t>La Triade</w:t>
                      </w:r>
                    </w:smartTag>
                    <w:r w:rsidRPr="00C12A07">
                      <w:rPr>
                        <w:b/>
                        <w:sz w:val="20"/>
                        <w:szCs w:val="20"/>
                      </w:rPr>
                      <w:t xml:space="preserve"> domine le Monde…</w:t>
                    </w:r>
                  </w:p>
                </w:txbxContent>
              </v:textbox>
            </v:shape>
            <v:oval id="_x0000_s1070" style="position:absolute;left:2520;top:264;width:508;height:508" filled="f" strokecolor="blue" strokeweight="1.5pt"/>
            <v:oval id="_x0000_s1071" style="position:absolute;left:2605;top:137;width:254;height:253" fillcolor="red"/>
            <v:oval id="_x0000_s1072" style="position:absolute;left:2436;top:518;width:256;height:252" fillcolor="red"/>
            <v:oval id="_x0000_s1073" style="position:absolute;left:2859;top:391;width:254;height:253" fillcolor="red"/>
            <v:oval id="_x0000_s1074" style="position:absolute;left:2605;top:2043;width:256;height:252" fillcolor="red"/>
            <v:shape id="_x0000_s1075" type="#_x0000_t202" style="position:absolute;left:2520;top:4076;width:6779;height:383" filled="f" stroked="f">
              <v:textbox style="mso-next-textbox:#_x0000_s1075">
                <w:txbxContent>
                  <w:p w:rsidR="00116EA4" w:rsidRPr="00C12A07" w:rsidRDefault="00116EA4" w:rsidP="00116EA4">
                    <w:pPr>
                      <w:rPr>
                        <w:b/>
                        <w:sz w:val="20"/>
                        <w:szCs w:val="20"/>
                      </w:rPr>
                    </w:pPr>
                    <w:r w:rsidRPr="00C12A07">
                      <w:rPr>
                        <w:b/>
                        <w:sz w:val="20"/>
                        <w:szCs w:val="20"/>
                      </w:rPr>
                      <w:t>II. …Mais est concurrencée par de nouveaux centres d’impulsion situés au Sud. </w:t>
                    </w:r>
                  </w:p>
                </w:txbxContent>
              </v:textbox>
            </v:shape>
            <v:rect id="_x0000_s1076" style="position:absolute;left:2605;top:4839;width:342;height:381" fillcolor="#f90"/>
            <v:oval id="_x0000_s1077" style="position:absolute;left:2690;top:3441;width:255;height:252" fillcolor="red">
              <v:fill r:id="rId4" o:title="Diagonales larges vers le haut" type="pattern"/>
            </v:oval>
            <v:shape id="_x0000_s1078" type="#_x0000_t202" style="position:absolute;left:3367;top:137;width:6099;height:636" stroked="f">
              <v:textbox style="mso-next-textbox:#_x0000_s1078">
                <w:txbxContent>
                  <w:p w:rsidR="00116EA4" w:rsidRPr="00C12A07" w:rsidRDefault="00116EA4" w:rsidP="00116EA4">
                    <w:pPr>
                      <w:jc w:val="both"/>
                      <w:rPr>
                        <w:sz w:val="20"/>
                        <w:szCs w:val="20"/>
                      </w:rPr>
                    </w:pPr>
                    <w:smartTag w:uri="urn:schemas-microsoft-com:office:smarttags" w:element="PersonName">
                      <w:smartTagPr>
                        <w:attr w:name="ProductID" w:val="la Triade"/>
                      </w:smartTagPr>
                      <w:r>
                        <w:rPr>
                          <w:sz w:val="20"/>
                          <w:szCs w:val="20"/>
                        </w:rPr>
                        <w:t>La Triade</w:t>
                      </w:r>
                    </w:smartTag>
                    <w:r>
                      <w:rPr>
                        <w:sz w:val="20"/>
                        <w:szCs w:val="20"/>
                      </w:rPr>
                      <w:t xml:space="preserve"> domine le monde par son poids économique, scientifique, culturel, politique et militaire. Elle définit et impulse les grandes orientations économiques car le monde est dépendants des institutions qu’elle finance aussi bien que de ses universités qui donnent le credo économique et politique. </w:t>
                    </w:r>
                  </w:p>
                </w:txbxContent>
              </v:textbox>
            </v:shape>
            <v:shape id="_x0000_s1079" type="#_x0000_t202" style="position:absolute;left:3452;top:3441;width:6016;height:507" stroked="f">
              <v:textbox style="mso-next-textbox:#_x0000_s1079">
                <w:txbxContent>
                  <w:p w:rsidR="00116EA4" w:rsidRPr="00C12A07" w:rsidRDefault="00116EA4" w:rsidP="00116EA4">
                    <w:pPr>
                      <w:jc w:val="both"/>
                      <w:rPr>
                        <w:sz w:val="20"/>
                        <w:szCs w:val="20"/>
                      </w:rPr>
                    </w:pPr>
                    <w:r>
                      <w:rPr>
                        <w:sz w:val="20"/>
                        <w:szCs w:val="20"/>
                      </w:rPr>
                      <w:t xml:space="preserve">Les marges intégrées de </w:t>
                    </w:r>
                    <w:smartTag w:uri="urn:schemas-microsoft-com:office:smarttags" w:element="PersonName">
                      <w:smartTagPr>
                        <w:attr w:name="ProductID" w:val="la Triade."/>
                      </w:smartTagPr>
                      <w:r>
                        <w:rPr>
                          <w:sz w:val="20"/>
                          <w:szCs w:val="20"/>
                        </w:rPr>
                        <w:t>la Triade.</w:t>
                      </w:r>
                    </w:smartTag>
                    <w:r>
                      <w:rPr>
                        <w:sz w:val="20"/>
                        <w:szCs w:val="20"/>
                      </w:rPr>
                      <w:t xml:space="preserve"> Pays étroitement liés économiquement mais moins riches que les Etats membres de </w:t>
                    </w:r>
                    <w:smartTag w:uri="urn:schemas-microsoft-com:office:smarttags" w:element="PersonName">
                      <w:smartTagPr>
                        <w:attr w:name="ProductID" w:val="la Triade."/>
                      </w:smartTagPr>
                      <w:r>
                        <w:rPr>
                          <w:sz w:val="20"/>
                          <w:szCs w:val="20"/>
                        </w:rPr>
                        <w:t>la Triade.</w:t>
                      </w:r>
                    </w:smartTag>
                    <w:r>
                      <w:rPr>
                        <w:sz w:val="20"/>
                        <w:szCs w:val="20"/>
                      </w:rPr>
                      <w:t> Elles sont aussi des marges disputées par les BRIC. </w:t>
                    </w:r>
                  </w:p>
                </w:txbxContent>
              </v:textbox>
            </v:shape>
            <v:shape id="_x0000_s1080" type="#_x0000_t202" style="position:absolute;left:3452;top:2678;width:6100;height:384" stroked="f">
              <v:textbox style="mso-next-textbox:#_x0000_s1080">
                <w:txbxContent>
                  <w:p w:rsidR="00116EA4" w:rsidRPr="00C12A07" w:rsidRDefault="00116EA4" w:rsidP="00116EA4">
                    <w:pPr>
                      <w:jc w:val="both"/>
                      <w:rPr>
                        <w:sz w:val="20"/>
                        <w:szCs w:val="20"/>
                      </w:rPr>
                    </w:pPr>
                    <w:r>
                      <w:rPr>
                        <w:sz w:val="20"/>
                        <w:szCs w:val="20"/>
                      </w:rPr>
                      <w:t xml:space="preserve">Les trois pôles de </w:t>
                    </w:r>
                    <w:smartTag w:uri="urn:schemas-microsoft-com:office:smarttags" w:element="PersonName">
                      <w:smartTagPr>
                        <w:attr w:name="ProductID" w:val="la Triade"/>
                      </w:smartTagPr>
                      <w:r>
                        <w:rPr>
                          <w:sz w:val="20"/>
                          <w:szCs w:val="20"/>
                        </w:rPr>
                        <w:t>la Triade</w:t>
                      </w:r>
                    </w:smartTag>
                    <w:r>
                      <w:rPr>
                        <w:sz w:val="20"/>
                        <w:szCs w:val="20"/>
                      </w:rPr>
                      <w:t xml:space="preserve"> représentent entre eux 80% des échanges commerciaux et financiers. </w:t>
                    </w:r>
                  </w:p>
                </w:txbxContent>
              </v:textbox>
            </v:shape>
            <v:shape id="_x0000_s1081" type="#_x0000_t202" style="position:absolute;left:3452;top:1916;width:6101;height:635" stroked="f">
              <v:textbox style="mso-next-textbox:#_x0000_s1081">
                <w:txbxContent>
                  <w:p w:rsidR="00116EA4" w:rsidRPr="00C12A07" w:rsidRDefault="00116EA4" w:rsidP="00116EA4">
                    <w:pPr>
                      <w:jc w:val="both"/>
                      <w:rPr>
                        <w:sz w:val="20"/>
                        <w:szCs w:val="20"/>
                      </w:rPr>
                    </w:pPr>
                    <w:r>
                      <w:rPr>
                        <w:sz w:val="20"/>
                        <w:szCs w:val="20"/>
                      </w:rPr>
                      <w:t xml:space="preserve">Un pôle de </w:t>
                    </w:r>
                    <w:smartTag w:uri="urn:schemas-microsoft-com:office:smarttags" w:element="PersonName">
                      <w:smartTagPr>
                        <w:attr w:name="ProductID" w:val="la Triade."/>
                      </w:smartTagPr>
                      <w:r>
                        <w:rPr>
                          <w:sz w:val="20"/>
                          <w:szCs w:val="20"/>
                        </w:rPr>
                        <w:t>la Triade.</w:t>
                      </w:r>
                    </w:smartTag>
                    <w:r>
                      <w:rPr>
                        <w:sz w:val="20"/>
                        <w:szCs w:val="20"/>
                      </w:rPr>
                      <w:t> Ils sont constitués d’ensembles régionaux unis par des pactes économiques libéraux. Ils concentrent la puissance économique comme donneurs d’ordres et clients mais aussi la puissance militaire et culturelle. Ils ont sur le reste du monde un pouvoir de prescription. </w:t>
                    </w:r>
                  </w:p>
                </w:txbxContent>
              </v:textbox>
            </v:shape>
            <v:rect id="_x0000_s1082" style="position:absolute;left:2605;top:6744;width:343;height:383" fillcolor="#f90">
              <v:fill r:id="rId4" o:title="Diagonales larges vers le haut" type="pattern"/>
            </v:rect>
            <v:shape id="_x0000_s1083" type="#_x0000_t202" style="position:absolute;left:3537;top:4711;width:5929;height:762" stroked="f">
              <v:textbox style="mso-next-textbox:#_x0000_s1083">
                <w:txbxContent>
                  <w:p w:rsidR="00116EA4" w:rsidRPr="00E02636" w:rsidRDefault="00116EA4" w:rsidP="00116EA4">
                    <w:pPr>
                      <w:jc w:val="both"/>
                      <w:rPr>
                        <w:sz w:val="20"/>
                        <w:szCs w:val="20"/>
                      </w:rPr>
                    </w:pPr>
                    <w:r>
                      <w:rPr>
                        <w:sz w:val="20"/>
                        <w:szCs w:val="20"/>
                      </w:rPr>
                      <w:t xml:space="preserve">Les BRIC. Etats continents en voie d’industrialisation. Très peuplés et aux ressources du sol et du sous sol avérés ils sont à la fois des pays ateliers pour les pôles de </w:t>
                    </w:r>
                    <w:smartTag w:uri="urn:schemas-microsoft-com:office:smarttags" w:element="PersonName">
                      <w:smartTagPr>
                        <w:attr w:name="ProductID" w:val="la Triade"/>
                      </w:smartTagPr>
                      <w:r>
                        <w:rPr>
                          <w:sz w:val="20"/>
                          <w:szCs w:val="20"/>
                        </w:rPr>
                        <w:t>la Triade</w:t>
                      </w:r>
                    </w:smartTag>
                    <w:r>
                      <w:rPr>
                        <w:sz w:val="20"/>
                        <w:szCs w:val="20"/>
                      </w:rPr>
                      <w:t xml:space="preserve"> mais aussi des Etats clients car leur population consomme des produits du Nord, ils sont aussi de plus en plus des concurrents de </w:t>
                    </w:r>
                    <w:smartTag w:uri="urn:schemas-microsoft-com:office:smarttags" w:element="PersonName">
                      <w:smartTagPr>
                        <w:attr w:name="ProductID" w:val="la Triade"/>
                      </w:smartTagPr>
                      <w:r>
                        <w:rPr>
                          <w:sz w:val="20"/>
                          <w:szCs w:val="20"/>
                        </w:rPr>
                        <w:t>la Triade</w:t>
                      </w:r>
                    </w:smartTag>
                    <w:r>
                      <w:rPr>
                        <w:sz w:val="20"/>
                        <w:szCs w:val="20"/>
                      </w:rPr>
                      <w:t xml:space="preserve"> et des leaders régionaux. </w:t>
                    </w:r>
                  </w:p>
                </w:txbxContent>
              </v:textbox>
            </v:shape>
            <v:shape id="_x0000_s1084" type="#_x0000_t202" style="position:absolute;left:3537;top:6617;width:5929;height:763" stroked="f">
              <v:textbox style="mso-next-textbox:#_x0000_s1084">
                <w:txbxContent>
                  <w:p w:rsidR="00116EA4" w:rsidRPr="00E02636" w:rsidRDefault="00116EA4" w:rsidP="00116EA4">
                    <w:pPr>
                      <w:jc w:val="both"/>
                      <w:rPr>
                        <w:sz w:val="20"/>
                        <w:szCs w:val="20"/>
                      </w:rPr>
                    </w:pPr>
                    <w:r>
                      <w:rPr>
                        <w:sz w:val="20"/>
                        <w:szCs w:val="20"/>
                      </w:rPr>
                      <w:t xml:space="preserve">Les Etats-clients des BRIC. Marges dominées ou partenaires commerciaux, elles se distinguent par un dynamisme économique et politique moindre. Certains Etats sont disputés entre les BRIC : c’est le cas du Sri Lanka situé dans le monde indien mais client de </w:t>
                    </w:r>
                    <w:smartTag w:uri="urn:schemas-microsoft-com:office:smarttags" w:element="PersonName">
                      <w:smartTagPr>
                        <w:attr w:name="ProductID" w:val="la Chine"/>
                      </w:smartTagPr>
                      <w:r>
                        <w:rPr>
                          <w:sz w:val="20"/>
                          <w:szCs w:val="20"/>
                        </w:rPr>
                        <w:t>la Chine</w:t>
                      </w:r>
                    </w:smartTag>
                    <w:r>
                      <w:rPr>
                        <w:sz w:val="20"/>
                        <w:szCs w:val="20"/>
                      </w:rPr>
                      <w:t xml:space="preserve"> alors même que l’économie du Sri Lanka est en partie ruinée par le développement de l’industrie chinoise du textile. </w:t>
                    </w:r>
                  </w:p>
                </w:txbxContent>
              </v:textbox>
            </v:shape>
            <v:shape id="_x0000_s1085" type="#_x0000_t202" style="position:absolute;left:3537;top:5728;width:5929;height:636" stroked="f">
              <v:textbox style="mso-next-textbox:#_x0000_s1085">
                <w:txbxContent>
                  <w:p w:rsidR="00116EA4" w:rsidRPr="00E02636" w:rsidRDefault="00116EA4" w:rsidP="00116EA4">
                    <w:pPr>
                      <w:jc w:val="both"/>
                      <w:rPr>
                        <w:sz w:val="20"/>
                        <w:szCs w:val="20"/>
                      </w:rPr>
                    </w:pPr>
                    <w:r>
                      <w:rPr>
                        <w:sz w:val="20"/>
                        <w:szCs w:val="20"/>
                      </w:rPr>
                      <w:t xml:space="preserve">Les liens entre les BRIC sont lâches et ponctuels. Il n’existe pas encore de solidarité SUD/SUD. En revanche les BRIC sont fortement intégrés à la mondialisation et par là dépendants des pôles de </w:t>
                    </w:r>
                    <w:smartTag w:uri="urn:schemas-microsoft-com:office:smarttags" w:element="PersonName">
                      <w:smartTagPr>
                        <w:attr w:name="ProductID" w:val="la Triade."/>
                      </w:smartTagPr>
                      <w:r>
                        <w:rPr>
                          <w:sz w:val="20"/>
                          <w:szCs w:val="20"/>
                        </w:rPr>
                        <w:t>la Triade.</w:t>
                      </w:r>
                    </w:smartTag>
                    <w:r>
                      <w:rPr>
                        <w:sz w:val="20"/>
                        <w:szCs w:val="20"/>
                      </w:rPr>
                      <w:t> </w:t>
                    </w:r>
                  </w:p>
                </w:txbxContent>
              </v:textbox>
            </v:shape>
            <v:oval id="_x0000_s1086" style="position:absolute;left:2605;top:5728;width:424;height:383" strokecolor="blue" strokeweight="2.25pt">
              <v:stroke dashstyle="1 1" endcap="round"/>
            </v:oval>
            <v:oval id="_x0000_s1087" style="position:absolute;left:2520;top:2678;width:424;height:382" strokecolor="blue" strokeweight="3pt"/>
            <v:oval id="_x0000_s1088" style="position:absolute;left:2690;top:1154;width:254;height:254" fillcolor="blue" strokecolor="blue"/>
            <v:line id="_x0000_s1089" style="position:absolute" from="2944,1281" to="3198,1281" strokecolor="blue" strokeweight="3pt"/>
            <v:shape id="_x0000_s1090" type="#_x0000_t202" style="position:absolute;left:3452;top:1027;width:5930;height:762" stroked="f">
              <v:textbox>
                <w:txbxContent>
                  <w:p w:rsidR="00116EA4" w:rsidRPr="00B63C9A" w:rsidRDefault="00116EA4" w:rsidP="00116EA4">
                    <w:pPr>
                      <w:jc w:val="both"/>
                      <w:rPr>
                        <w:sz w:val="20"/>
                        <w:szCs w:val="20"/>
                      </w:rPr>
                    </w:pPr>
                    <w:r>
                      <w:rPr>
                        <w:sz w:val="20"/>
                        <w:szCs w:val="20"/>
                      </w:rPr>
                      <w:t xml:space="preserve">La domination de </w:t>
                    </w:r>
                    <w:smartTag w:uri="urn:schemas-microsoft-com:office:smarttags" w:element="PersonName">
                      <w:smartTagPr>
                        <w:attr w:name="ProductID" w:val="la Triade"/>
                      </w:smartTagPr>
                      <w:r>
                        <w:rPr>
                          <w:sz w:val="20"/>
                          <w:szCs w:val="20"/>
                        </w:rPr>
                        <w:t>la Triade</w:t>
                      </w:r>
                    </w:smartTag>
                    <w:r>
                      <w:rPr>
                        <w:sz w:val="20"/>
                        <w:szCs w:val="20"/>
                      </w:rPr>
                      <w:t xml:space="preserve"> s’exerce par sa capacité à produire de la valeur ajoutée transformée pour partie en investissements directs étrangers (IDE) qui eux financent le développement économique du reste de la planète. A ce titre sa domination sur les autres économies qui dépendent de sa vitalité est incontestable. </w:t>
                    </w:r>
                  </w:p>
                </w:txbxContent>
              </v:textbox>
            </v:shape>
            <w10:wrap type="none"/>
            <w10:anchorlock/>
          </v:group>
        </w:pict>
      </w:r>
    </w:p>
    <w:p w:rsidR="00116EA4" w:rsidRDefault="00116EA4" w:rsidP="00116EA4">
      <w:pPr>
        <w:rPr>
          <w:b/>
          <w:sz w:val="20"/>
          <w:szCs w:val="20"/>
        </w:rPr>
      </w:pPr>
    </w:p>
    <w:p w:rsidR="00116EA4" w:rsidRDefault="00116EA4" w:rsidP="00116EA4">
      <w:pPr>
        <w:jc w:val="both"/>
      </w:pPr>
    </w:p>
    <w:p w:rsidR="00FB5412" w:rsidRDefault="00FB5412" w:rsidP="00116EA4">
      <w:pPr>
        <w:jc w:val="both"/>
      </w:pPr>
    </w:p>
    <w:sectPr w:rsidR="00FB5412" w:rsidSect="00116EA4">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16EA4"/>
    <w:rsid w:val="000C1B7B"/>
    <w:rsid w:val="00116EA4"/>
    <w:rsid w:val="00411DCC"/>
    <w:rsid w:val="00FB54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EA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Words>
  <Characters>118</Characters>
  <Application>Microsoft Office Word</Application>
  <DocSecurity>0</DocSecurity>
  <Lines>1</Lines>
  <Paragraphs>1</Paragraphs>
  <ScaleCrop>false</ScaleCrop>
  <Company>Lycée Jean Renoir</Company>
  <LinksUpToDate>false</LinksUpToDate>
  <CharactersWithSpaces>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2010-03-03T17:47:00Z</dcterms:created>
  <dcterms:modified xsi:type="dcterms:W3CDTF">2010-03-03T17:48:00Z</dcterms:modified>
</cp:coreProperties>
</file>