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93" w:rsidRPr="00106E50" w:rsidRDefault="000E1073" w:rsidP="000E1073">
      <w:pPr>
        <w:jc w:val="both"/>
        <w:rPr>
          <w:color w:val="002060"/>
        </w:rPr>
      </w:pPr>
      <w:r w:rsidRPr="00106E50">
        <w:rPr>
          <w:color w:val="002060"/>
        </w:rPr>
        <w:t>CROQUIS - Légende</w:t>
      </w:r>
    </w:p>
    <w:p w:rsidR="000E1073" w:rsidRPr="00106E50" w:rsidRDefault="000E1073" w:rsidP="000E1073">
      <w:pPr>
        <w:jc w:val="both"/>
        <w:rPr>
          <w:color w:val="002060"/>
          <w:sz w:val="28"/>
          <w:szCs w:val="28"/>
        </w:rPr>
      </w:pPr>
      <w:r w:rsidRPr="00106E50">
        <w:rPr>
          <w:color w:val="002060"/>
          <w:sz w:val="28"/>
          <w:szCs w:val="28"/>
        </w:rPr>
        <w:t>Dynamiques des espaces productifs dans la mondialisation</w:t>
      </w:r>
    </w:p>
    <w:p w:rsidR="000E1073" w:rsidRPr="00106E50" w:rsidRDefault="00106E50" w:rsidP="000E1073">
      <w:pPr>
        <w:jc w:val="both"/>
        <w:rPr>
          <w:b/>
          <w:color w:val="FF0000"/>
        </w:rPr>
      </w:pPr>
      <w:r w:rsidRPr="00106E50">
        <w:rPr>
          <w:b/>
          <w:color w:val="FF0000"/>
        </w:rPr>
        <w:t>I. LES DYNAMIQUES DIFF</w:t>
      </w:r>
      <w:r w:rsidRPr="00106E50">
        <w:rPr>
          <w:rFonts w:cstheme="minorHAnsi"/>
          <w:b/>
          <w:color w:val="FF0000"/>
        </w:rPr>
        <w:t>É</w:t>
      </w:r>
      <w:r w:rsidRPr="00106E50">
        <w:rPr>
          <w:b/>
          <w:color w:val="FF0000"/>
        </w:rPr>
        <w:t>RENCI</w:t>
      </w:r>
      <w:r w:rsidRPr="00106E50">
        <w:rPr>
          <w:rFonts w:cstheme="minorHAnsi"/>
          <w:b/>
          <w:color w:val="FF0000"/>
        </w:rPr>
        <w:t>É</w:t>
      </w:r>
      <w:r w:rsidRPr="00106E50">
        <w:rPr>
          <w:b/>
          <w:color w:val="FF0000"/>
        </w:rPr>
        <w:t>ES DES ESPACES PRODUCTIFS FONCTION DE LEUR DEGR</w:t>
      </w:r>
      <w:r w:rsidRPr="00106E50">
        <w:rPr>
          <w:rFonts w:cstheme="minorHAnsi"/>
          <w:b/>
          <w:color w:val="FF0000"/>
        </w:rPr>
        <w:t>É</w:t>
      </w:r>
      <w:r w:rsidRPr="00106E50">
        <w:rPr>
          <w:b/>
          <w:color w:val="FF0000"/>
        </w:rPr>
        <w:t xml:space="preserve"> D’INT</w:t>
      </w:r>
      <w:r w:rsidRPr="00106E50">
        <w:rPr>
          <w:rFonts w:cstheme="minorHAnsi"/>
          <w:b/>
          <w:color w:val="FF0000"/>
        </w:rPr>
        <w:t>É</w:t>
      </w:r>
      <w:r w:rsidRPr="00106E50">
        <w:rPr>
          <w:b/>
          <w:color w:val="FF0000"/>
        </w:rPr>
        <w:t>GRATION DANS LA MONDIALISATION. </w:t>
      </w:r>
    </w:p>
    <w:p w:rsidR="00106E50" w:rsidRPr="00106E50" w:rsidRDefault="00106E50" w:rsidP="000E1073">
      <w:pPr>
        <w:jc w:val="both"/>
        <w:rPr>
          <w:b/>
          <w:color w:val="002060"/>
        </w:rPr>
      </w:pPr>
      <w:r w:rsidRPr="00106E50">
        <w:rPr>
          <w:b/>
          <w:color w:val="002060"/>
        </w:rPr>
        <w:t>1. Les espaces productifs dynamiques et intégrés dans la mondialisation. </w:t>
      </w:r>
    </w:p>
    <w:p w:rsidR="00106E50" w:rsidRDefault="00E33F9D" w:rsidP="00106E50">
      <w:pPr>
        <w:ind w:left="1843"/>
        <w:jc w:val="both"/>
        <w:rPr>
          <w:color w:val="002060"/>
        </w:rPr>
      </w:pPr>
      <w:r w:rsidRPr="00106E50">
        <w:rPr>
          <w:rFonts w:ascii="Times New Roman" w:hAnsi="Times New Roman" w:cs="Times New Roman"/>
          <w:b/>
          <w:sz w:val="24"/>
          <w:szCs w:val="24"/>
        </w:rPr>
        <w:pict>
          <v:oval id="_x0000_s1030" style="position:absolute;left:0;text-align:left;margin-left:71.25pt;margin-top:13.1pt;width:19.5pt;height:18pt;z-index:251663360" fillcolor="red" stroked="f"/>
        </w:pict>
      </w:r>
      <w:r>
        <w:rPr>
          <w:rFonts w:ascii="Times New Roman" w:hAnsi="Times New Roman" w:cs="Times New Roman"/>
          <w:sz w:val="24"/>
          <w:szCs w:val="24"/>
        </w:rPr>
        <w:pict>
          <v:oval id="_x0000_s1031" style="position:absolute;left:0;text-align:left;margin-left:36.75pt;margin-top:8.55pt;width:27.75pt;height:27.75pt;z-index:251665408" fillcolor="red" strokecolor="red" strokeweight="4.5pt">
            <v:stroke linestyle="thinThick"/>
          </v:oval>
        </w:pict>
      </w:r>
      <w:r>
        <w:rPr>
          <w:rFonts w:ascii="Times New Roman" w:hAnsi="Times New Roman" w:cs="Times New Roman"/>
          <w:sz w:val="24"/>
          <w:szCs w:val="24"/>
        </w:rPr>
        <w:pict>
          <v:oval id="_x0000_s1028" style="position:absolute;left:0;text-align:left;margin-left:-11.45pt;margin-top:1.85pt;width:39.75pt;height:39pt;z-index:251661312" fillcolor="red" strokecolor="#c00000" strokeweight="4.5pt"/>
        </w:pict>
      </w:r>
      <w:r w:rsidR="00106E50" w:rsidRPr="00106E50">
        <w:rPr>
          <w:b/>
          <w:color w:val="002060"/>
        </w:rPr>
        <w:t>Les espaces productifs les plus dynamiques.</w:t>
      </w:r>
      <w:r w:rsidR="00106E50">
        <w:rPr>
          <w:color w:val="002060"/>
        </w:rPr>
        <w:t> Les grandes métropoles françaises de rayonnement mondial, européen ou national. Elles concentrent les fonctions de commandement et favorisent l’innovation et la création. </w:t>
      </w:r>
    </w:p>
    <w:p w:rsidR="00106E50" w:rsidRDefault="00C75B41" w:rsidP="0047155B">
      <w:pPr>
        <w:ind w:left="1843"/>
        <w:jc w:val="both"/>
        <w:rPr>
          <w:color w:val="002060"/>
        </w:rPr>
      </w:pPr>
      <w:r w:rsidRPr="00106E50">
        <w:rPr>
          <w:b/>
          <w:noProof/>
          <w:color w:val="002060"/>
          <w:lang w:eastAsia="fr-FR"/>
        </w:rPr>
        <w:pict>
          <v:rect id="_x0000_s1027" style="position:absolute;left:0;text-align:left;margin-left:-18pt;margin-top:16.65pt;width:50.25pt;height:22.5pt;z-index:251659264" fillcolor="#ffc000"/>
        </w:pict>
      </w:r>
      <w:r w:rsidR="00E33F9D" w:rsidRPr="00106E50">
        <w:rPr>
          <w:b/>
          <w:noProof/>
          <w:color w:val="002060"/>
          <w:lang w:eastAsia="fr-FR"/>
        </w:rPr>
        <w:pict>
          <v:rect id="_x0000_s1026" style="position:absolute;left:0;text-align:left;margin-left:36.75pt;margin-top:16.65pt;width:50.25pt;height:22.5pt;z-index:251658240" fillcolor="yellow"/>
        </w:pict>
      </w:r>
      <w:r w:rsidR="00106E50" w:rsidRPr="00106E50">
        <w:rPr>
          <w:b/>
          <w:color w:val="002060"/>
        </w:rPr>
        <w:t>Les espaces productifs dynamiques</w:t>
      </w:r>
      <w:r w:rsidR="00106E50">
        <w:rPr>
          <w:b/>
          <w:color w:val="002060"/>
        </w:rPr>
        <w:t xml:space="preserve"> : la région Île-de-France </w:t>
      </w:r>
      <w:r w:rsidR="00F8039B">
        <w:rPr>
          <w:b/>
          <w:color w:val="002060"/>
        </w:rPr>
        <w:t>(1</w:t>
      </w:r>
      <w:r w:rsidR="00F8039B" w:rsidRPr="00F8039B">
        <w:rPr>
          <w:b/>
          <w:color w:val="002060"/>
          <w:vertAlign w:val="superscript"/>
        </w:rPr>
        <w:t>ère</w:t>
      </w:r>
      <w:r>
        <w:rPr>
          <w:b/>
          <w:color w:val="002060"/>
        </w:rPr>
        <w:t xml:space="preserve"> récipiendaire</w:t>
      </w:r>
      <w:r w:rsidR="00F8039B">
        <w:rPr>
          <w:b/>
          <w:color w:val="002060"/>
        </w:rPr>
        <w:t xml:space="preserve"> des Investissements Directs </w:t>
      </w:r>
      <w:r w:rsidR="00F8039B">
        <w:rPr>
          <w:rFonts w:cstheme="minorHAnsi"/>
          <w:b/>
          <w:color w:val="002060"/>
        </w:rPr>
        <w:t>É</w:t>
      </w:r>
      <w:r w:rsidR="00F8039B">
        <w:rPr>
          <w:b/>
          <w:color w:val="002060"/>
        </w:rPr>
        <w:t xml:space="preserve">trangers, IDE) </w:t>
      </w:r>
      <w:r w:rsidR="00106E50">
        <w:rPr>
          <w:b/>
          <w:color w:val="002060"/>
        </w:rPr>
        <w:t>et les aires urbaines</w:t>
      </w:r>
      <w:r w:rsidR="00F8039B">
        <w:rPr>
          <w:color w:val="002060"/>
        </w:rPr>
        <w:t>. L</w:t>
      </w:r>
      <w:r w:rsidR="00106E50">
        <w:rPr>
          <w:color w:val="002060"/>
        </w:rPr>
        <w:t xml:space="preserve">a croissance stimulée par le raccordement aux aires métropolitaines : industrie diffuse de haute technologie, agriculture maraîchère en lien avec les marchés urbains, sièges des </w:t>
      </w:r>
      <w:r w:rsidR="00106E50" w:rsidRPr="00106E50">
        <w:rPr>
          <w:color w:val="002060"/>
          <w:u w:val="single"/>
        </w:rPr>
        <w:t>I</w:t>
      </w:r>
      <w:r w:rsidR="00106E50">
        <w:rPr>
          <w:color w:val="002060"/>
        </w:rPr>
        <w:t xml:space="preserve">ndustries </w:t>
      </w:r>
      <w:r w:rsidR="00106E50" w:rsidRPr="00106E50">
        <w:rPr>
          <w:color w:val="002060"/>
          <w:u w:val="single"/>
        </w:rPr>
        <w:t>A</w:t>
      </w:r>
      <w:r w:rsidR="00106E50">
        <w:rPr>
          <w:color w:val="002060"/>
        </w:rPr>
        <w:t>gro</w:t>
      </w:r>
      <w:r w:rsidR="00106E50" w:rsidRPr="00106E50">
        <w:rPr>
          <w:color w:val="002060"/>
          <w:u w:val="single"/>
        </w:rPr>
        <w:t>a</w:t>
      </w:r>
      <w:r w:rsidR="00106E50">
        <w:rPr>
          <w:color w:val="002060"/>
        </w:rPr>
        <w:t>limentaires (IAA)</w:t>
      </w:r>
    </w:p>
    <w:p w:rsidR="00E33F9D" w:rsidRDefault="00E33F9D" w:rsidP="0047155B">
      <w:pPr>
        <w:ind w:left="1843"/>
        <w:jc w:val="both"/>
        <w:rPr>
          <w:color w:val="002060"/>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8" type="#_x0000_t202" style="position:absolute;left:0;text-align:left;margin-left:-1.95pt;margin-top:3.95pt;width:45.5pt;height:21.55pt;z-index:251675648" filled="f" stroked="f">
            <v:textbox style="mso-next-textbox:#_x0000_s1038">
              <w:txbxContent>
                <w:p w:rsidR="00E33F9D" w:rsidRDefault="00E33F9D" w:rsidP="00E33F9D">
                  <w:pPr>
                    <w:pStyle w:val="Sansinterligne"/>
                    <w:rPr>
                      <w:i/>
                      <w:color w:val="4F6228" w:themeColor="accent3" w:themeShade="80"/>
                    </w:rPr>
                  </w:pPr>
                  <w:r>
                    <w:rPr>
                      <w:i/>
                      <w:color w:val="4F6228" w:themeColor="accent3" w:themeShade="80"/>
                    </w:rPr>
                    <w:t>Doux</w:t>
                  </w:r>
                </w:p>
              </w:txbxContent>
            </v:textbox>
          </v:shape>
        </w:pict>
      </w:r>
      <w:r>
        <w:rPr>
          <w:rFonts w:ascii="Times New Roman" w:hAnsi="Times New Roman" w:cs="Times New Roman"/>
          <w:sz w:val="24"/>
          <w:szCs w:val="24"/>
        </w:rPr>
        <w:pict>
          <v:rect id="_x0000_s1037" style="position:absolute;left:0;text-align:left;margin-left:4.8pt;margin-top:25.5pt;width:8.5pt;height:9.45pt;z-index:251674624" fillcolor="#4e6128 [1606]" strokecolor="#4e6128 [1606]"/>
        </w:pict>
      </w:r>
      <w:r>
        <w:rPr>
          <w:rFonts w:ascii="Times New Roman" w:hAnsi="Times New Roman" w:cs="Times New Roman"/>
          <w:sz w:val="24"/>
          <w:szCs w:val="24"/>
        </w:rPr>
        <w:pict>
          <v:shape id="_x0000_s1039" type="#_x0000_t202" style="position:absolute;left:0;text-align:left;margin-left:17.75pt;margin-top:34.95pt;width:69.25pt;height:21.55pt;z-index:251677696" filled="f" stroked="f">
            <v:textbox style="mso-next-textbox:#_x0000_s1039">
              <w:txbxContent>
                <w:p w:rsidR="00E33F9D" w:rsidRDefault="00E33F9D" w:rsidP="00E33F9D">
                  <w:pPr>
                    <w:pStyle w:val="Sansinterligne"/>
                    <w:rPr>
                      <w:b/>
                      <w:i/>
                      <w:color w:val="4F6228" w:themeColor="accent3" w:themeShade="80"/>
                    </w:rPr>
                  </w:pPr>
                  <w:r>
                    <w:rPr>
                      <w:b/>
                      <w:i/>
                      <w:color w:val="4F6228" w:themeColor="accent3" w:themeShade="80"/>
                    </w:rPr>
                    <w:t>Bretagne</w:t>
                  </w:r>
                </w:p>
              </w:txbxContent>
            </v:textbox>
          </v:shape>
        </w:pict>
      </w:r>
      <w:r>
        <w:rPr>
          <w:color w:val="002060"/>
        </w:rPr>
        <w:t>Sièges des grandes entreprises françaises de l’agroalimentaire au rayonnement mondial et grandes régions agricoles françaises : soit des régions d’agriculture intensive et très productive, étroitement connectées au marché mondial, soit des régions d’Appellation d’Origine Contrôlée (AOC) ou d’Appellation Géographique Protégée (IGP) misant sur la qualité et le luxe. </w:t>
      </w:r>
    </w:p>
    <w:p w:rsidR="00106E50" w:rsidRPr="00106E50" w:rsidRDefault="00E33F9D" w:rsidP="0047155B">
      <w:pPr>
        <w:ind w:left="1843"/>
        <w:jc w:val="both"/>
        <w:rPr>
          <w:color w:val="002060"/>
        </w:rPr>
      </w:pPr>
      <w:r>
        <w:rPr>
          <w:rFonts w:ascii="Times New Roman" w:hAnsi="Times New Roman" w:cs="Times New Roman"/>
          <w:sz w:val="24"/>
          <w:szCs w:val="24"/>
        </w:rPr>
        <w:pict>
          <v:shape id="_x0000_s1032" style="position:absolute;left:0;text-align:left;margin-left:-9pt;margin-top:5.5pt;width:37.3pt;height:30.25pt;z-index:251667456" coordsize="1421,1245" path="m341,hdc296,15,245,19,206,45,191,55,178,68,161,75,128,89,91,93,56,105v-22,66,3,108,15,180c116,280,161,277,206,270v16,-3,38,-29,45,-15c259,271,231,285,221,300v15,10,28,24,45,30c290,339,320,331,341,345v13,9,8,31,15,45c383,444,413,444,341,420v-5,-15,-2,-36,-15,-45c300,357,236,345,236,345v-35,5,-77,-7,-105,15c117,371,147,394,161,405v10,8,101,29,105,30c286,465,360,514,326,525v-124,41,-59,26,-195,45c47,598,,594,86,615v25,6,50,10,75,15c227,674,217,689,236,765v-5,15,-21,30,-15,45c230,832,292,849,311,855v15,-10,35,-15,45,-30c373,798,386,735,386,735v15,5,34,4,45,15c511,830,371,770,491,810v82,-27,18,-23,60,30c562,854,581,860,596,870v10,15,15,35,30,45c643,928,636,870,701,885hbc736,895,784,955,836,975v52,20,153,18,180,30hdc1011,1020,999,1034,1001,1050v3,31,30,90,30,90c1046,1135,1064,1135,1076,1125v14,-11,12,-45,30,-45c1122,1080,1101,1113,1091,1125v-11,14,-30,20,-45,30c1061,1165,1073,1189,1091,1185v18,-4,17,-32,30,-45c1134,1127,1151,1120,1166,1110v30,5,66,-4,90,15c1268,1135,1252,1159,1241,1170v-11,11,-30,10,-45,15c1270,1210,1342,1245,1421,1245e" filled="f" strokecolor="#002060" strokeweight="2.25pt">
            <v:path arrowok="t"/>
          </v:shape>
        </w:pict>
      </w:r>
      <w:r w:rsidR="0047155B" w:rsidRPr="00F227DC">
        <w:rPr>
          <w:b/>
          <w:noProof/>
          <w:color w:val="002060"/>
          <w:lang w:eastAsia="fr-FR"/>
        </w:rPr>
        <w:pict>
          <v:rect id="_x0000_s1033" style="position:absolute;left:0;text-align:left;margin-left:36.75pt;margin-top:5.5pt;width:50.25pt;height:22.5pt;z-index:251668480" fillcolor="#92d050" strokecolor="#4e6128 [1606]" strokeweight="3pt"/>
        </w:pict>
      </w:r>
      <w:r w:rsidR="0047155B" w:rsidRPr="00F227DC">
        <w:rPr>
          <w:b/>
          <w:color w:val="002060"/>
        </w:rPr>
        <w:t>Les régions touristiques les plus attractives</w:t>
      </w:r>
      <w:r w:rsidR="0047155B">
        <w:rPr>
          <w:color w:val="002060"/>
        </w:rPr>
        <w:t> : les littoraux et les régions de hautes montagnes dynamisés par un tourisme aussi bien national qu’international. Elles contribuent ay rayonnement mondial de la France. </w:t>
      </w:r>
    </w:p>
    <w:p w:rsidR="00106E50" w:rsidRPr="00106E50" w:rsidRDefault="00E33F9D" w:rsidP="000E1073">
      <w:pPr>
        <w:jc w:val="both"/>
        <w:rPr>
          <w:b/>
          <w:color w:val="002060"/>
        </w:rPr>
      </w:pPr>
      <w:r>
        <w:rPr>
          <w:b/>
          <w:color w:val="002060"/>
        </w:rPr>
        <w:t>2. Les espaces</w:t>
      </w:r>
      <w:r w:rsidR="00106E50" w:rsidRPr="00106E50">
        <w:rPr>
          <w:b/>
          <w:color w:val="002060"/>
        </w:rPr>
        <w:t xml:space="preserve"> peu ou pas productifs, en marge de la mondialisation. </w:t>
      </w:r>
    </w:p>
    <w:p w:rsidR="00106E50" w:rsidRDefault="004D4D26" w:rsidP="00E33F9D">
      <w:pPr>
        <w:ind w:left="1843"/>
        <w:jc w:val="both"/>
        <w:rPr>
          <w:color w:val="002060"/>
        </w:rPr>
      </w:pPr>
      <w:r w:rsidRPr="00882C01">
        <w:rPr>
          <w:rFonts w:ascii="Times New Roman" w:hAnsi="Times New Roman" w:cs="Times New Roman"/>
          <w:b/>
          <w:sz w:val="24"/>
          <w:szCs w:val="2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5" type="#_x0000_t38" style="position:absolute;left:0;text-align:left;margin-left:4.8pt;margin-top:66.95pt;width:33.75pt;height:21.9pt;z-index:251671552" o:connectortype="curved" adj="18944,-406849,-27840" strokecolor="#974706 [1609]" strokeweight="2.25pt">
            <v:stroke endarrow="block"/>
          </v:shape>
        </w:pict>
      </w:r>
      <w:r w:rsidR="00F62FFB" w:rsidRPr="00882C01">
        <w:rPr>
          <w:b/>
          <w:noProof/>
          <w:color w:val="002060"/>
          <w:lang w:eastAsia="fr-FR"/>
        </w:rPr>
        <w:pict>
          <v:rect id="_x0000_s1034" style="position:absolute;left:0;text-align:left;margin-left:-9pt;margin-top:9.2pt;width:50.25pt;height:22.5pt;z-index:251669504" fillcolor="#974706 [1609]">
            <v:fill r:id="rId4" o:title="Diagonales larges vers le bas" type="pattern"/>
          </v:rect>
        </w:pict>
      </w:r>
      <w:r w:rsidR="00882C01" w:rsidRPr="00882C01">
        <w:rPr>
          <w:b/>
          <w:color w:val="002060"/>
        </w:rPr>
        <w:t>Les espaces en crises.</w:t>
      </w:r>
      <w:r w:rsidR="00882C01">
        <w:rPr>
          <w:color w:val="002060"/>
        </w:rPr>
        <w:t> </w:t>
      </w:r>
      <w:r w:rsidR="00F62FFB">
        <w:rPr>
          <w:color w:val="002060"/>
        </w:rPr>
        <w:t xml:space="preserve">Les anciens bassins industriels (Sidérurgie de gisement) : mines de charbon, aciéries, industrie automobile peu productive et frappées toutes par les délocalisations. Les activités industrielles qui survivent à la compétition mondiale se relocalisent vers les </w:t>
      </w:r>
      <w:r w:rsidR="00F62FFB" w:rsidRPr="00F62FFB">
        <w:rPr>
          <w:color w:val="002060"/>
          <w:u w:val="single"/>
        </w:rPr>
        <w:t>Z</w:t>
      </w:r>
      <w:r w:rsidR="00F62FFB">
        <w:rPr>
          <w:color w:val="002060"/>
        </w:rPr>
        <w:t xml:space="preserve">ones </w:t>
      </w:r>
      <w:r w:rsidR="00F62FFB" w:rsidRPr="00F62FFB">
        <w:rPr>
          <w:color w:val="002060"/>
          <w:u w:val="single"/>
        </w:rPr>
        <w:t>I</w:t>
      </w:r>
      <w:r w:rsidR="00F62FFB">
        <w:rPr>
          <w:color w:val="002060"/>
        </w:rPr>
        <w:t xml:space="preserve">ndustrialo </w:t>
      </w:r>
      <w:r w:rsidR="00F62FFB" w:rsidRPr="00F62FFB">
        <w:rPr>
          <w:color w:val="002060"/>
          <w:u w:val="single"/>
        </w:rPr>
        <w:t>P</w:t>
      </w:r>
      <w:r w:rsidR="00F62FFB">
        <w:rPr>
          <w:color w:val="002060"/>
        </w:rPr>
        <w:t>ortuaires (ZIP)</w:t>
      </w:r>
      <w:r w:rsidR="00BD67C8">
        <w:rPr>
          <w:color w:val="002060"/>
        </w:rPr>
        <w:t>. </w:t>
      </w:r>
    </w:p>
    <w:p w:rsidR="00BD67C8" w:rsidRDefault="004D4D26" w:rsidP="00E33F9D">
      <w:pPr>
        <w:ind w:left="1843"/>
        <w:jc w:val="both"/>
        <w:rPr>
          <w:color w:val="002060"/>
        </w:rPr>
      </w:pPr>
      <w:r>
        <w:rPr>
          <w:color w:val="002060"/>
        </w:rPr>
        <w:t>Dynamiques de relocalisation des industries traditionnelles en crise vers les littoraux. </w:t>
      </w:r>
    </w:p>
    <w:p w:rsidR="00BD67C8" w:rsidRDefault="00882C01" w:rsidP="00E33F9D">
      <w:pPr>
        <w:ind w:left="1843"/>
        <w:jc w:val="both"/>
        <w:rPr>
          <w:color w:val="002060"/>
        </w:rPr>
      </w:pPr>
      <w:r>
        <w:rPr>
          <w:noProof/>
          <w:color w:val="002060"/>
          <w:lang w:eastAsia="fr-FR"/>
        </w:rPr>
        <w:pict>
          <v:rect id="_x0000_s1036" style="position:absolute;left:0;text-align:left;margin-left:-9pt;margin-top:3.95pt;width:50.25pt;height:22.5pt;z-index:251672576" fillcolor="white [3212]"/>
        </w:pict>
      </w:r>
      <w:r>
        <w:rPr>
          <w:color w:val="002060"/>
        </w:rPr>
        <w:t>Les espaces peu productifs : agriculture de polyculture et d’élevage, petites industries, entreprises de services au rayonnement très localisé. </w:t>
      </w:r>
    </w:p>
    <w:p w:rsidR="00E33F9D" w:rsidRDefault="00E33F9D" w:rsidP="00E33F9D">
      <w:pPr>
        <w:ind w:left="1843"/>
        <w:jc w:val="both"/>
        <w:rPr>
          <w:color w:val="002060"/>
        </w:rPr>
      </w:pPr>
    </w:p>
    <w:p w:rsidR="00E33F9D" w:rsidRDefault="00E33F9D" w:rsidP="00E33F9D">
      <w:pPr>
        <w:ind w:left="1843"/>
        <w:jc w:val="both"/>
        <w:rPr>
          <w:color w:val="002060"/>
        </w:rPr>
      </w:pPr>
    </w:p>
    <w:p w:rsidR="00E33F9D" w:rsidRDefault="00E33F9D" w:rsidP="00E33F9D">
      <w:pPr>
        <w:ind w:left="1843"/>
        <w:jc w:val="both"/>
        <w:rPr>
          <w:color w:val="002060"/>
        </w:rPr>
      </w:pPr>
    </w:p>
    <w:p w:rsidR="00E33F9D" w:rsidRDefault="00E33F9D" w:rsidP="00E33F9D">
      <w:pPr>
        <w:ind w:left="1843"/>
        <w:jc w:val="both"/>
        <w:rPr>
          <w:color w:val="002060"/>
        </w:rPr>
      </w:pPr>
    </w:p>
    <w:p w:rsidR="00E33F9D" w:rsidRDefault="00E33F9D" w:rsidP="00E33F9D">
      <w:pPr>
        <w:ind w:left="1843"/>
        <w:jc w:val="both"/>
        <w:rPr>
          <w:color w:val="002060"/>
        </w:rPr>
      </w:pPr>
    </w:p>
    <w:p w:rsidR="00E33F9D" w:rsidRDefault="00E33F9D" w:rsidP="00E33F9D">
      <w:pPr>
        <w:ind w:left="1843"/>
        <w:jc w:val="both"/>
        <w:rPr>
          <w:color w:val="002060"/>
        </w:rPr>
      </w:pPr>
    </w:p>
    <w:p w:rsidR="00E33F9D" w:rsidRDefault="00E33F9D" w:rsidP="00E33F9D">
      <w:pPr>
        <w:ind w:left="1843"/>
        <w:jc w:val="both"/>
        <w:rPr>
          <w:color w:val="002060"/>
        </w:rPr>
      </w:pPr>
    </w:p>
    <w:p w:rsidR="00E33F9D" w:rsidRDefault="00E33F9D" w:rsidP="00E33F9D">
      <w:pPr>
        <w:ind w:left="1843"/>
        <w:jc w:val="both"/>
        <w:rPr>
          <w:color w:val="002060"/>
        </w:rPr>
      </w:pPr>
    </w:p>
    <w:p w:rsidR="00E33F9D" w:rsidRPr="00106E50" w:rsidRDefault="00E33F9D" w:rsidP="00E33F9D">
      <w:pPr>
        <w:ind w:left="1843"/>
        <w:jc w:val="both"/>
        <w:rPr>
          <w:color w:val="002060"/>
        </w:rPr>
      </w:pPr>
    </w:p>
    <w:p w:rsidR="00106E50" w:rsidRPr="00106E50" w:rsidRDefault="00106E50" w:rsidP="000E1073">
      <w:pPr>
        <w:jc w:val="both"/>
        <w:rPr>
          <w:b/>
          <w:color w:val="FF0000"/>
        </w:rPr>
      </w:pPr>
      <w:r w:rsidRPr="00106E50">
        <w:rPr>
          <w:b/>
          <w:color w:val="FF0000"/>
        </w:rPr>
        <w:t>II. LES FACTEURS DE L’INSERTION DANS LA MONDIALISATION</w:t>
      </w:r>
      <w:r w:rsidR="007A36D7">
        <w:rPr>
          <w:b/>
          <w:color w:val="FF0000"/>
        </w:rPr>
        <w:t xml:space="preserve"> ET DU DYNAMISME DES ESPACES PRODUCTIFS FRAN</w:t>
      </w:r>
      <w:r w:rsidR="007A36D7">
        <w:rPr>
          <w:rFonts w:cstheme="minorHAnsi"/>
          <w:b/>
          <w:color w:val="FF0000"/>
        </w:rPr>
        <w:t>Ç</w:t>
      </w:r>
      <w:r w:rsidR="007A36D7">
        <w:rPr>
          <w:b/>
          <w:color w:val="FF0000"/>
        </w:rPr>
        <w:t>AIS. </w:t>
      </w:r>
    </w:p>
    <w:p w:rsidR="000E1073" w:rsidRPr="00106E50" w:rsidRDefault="00106E50" w:rsidP="000E1073">
      <w:pPr>
        <w:jc w:val="both"/>
        <w:rPr>
          <w:b/>
          <w:color w:val="002060"/>
        </w:rPr>
      </w:pPr>
      <w:r w:rsidRPr="00106E50">
        <w:rPr>
          <w:b/>
          <w:color w:val="002060"/>
        </w:rPr>
        <w:t>1. La connexion avec le Reste Du Monde et avec les grandes urbaines métropolitaines. </w:t>
      </w:r>
    </w:p>
    <w:p w:rsidR="00C36DE0" w:rsidRDefault="00C36DE0" w:rsidP="00C36DE0">
      <w:pPr>
        <w:ind w:left="1843"/>
        <w:jc w:val="both"/>
        <w:rPr>
          <w:color w:val="002060"/>
        </w:rPr>
      </w:pPr>
      <w:r w:rsidRPr="008552F4">
        <w:rPr>
          <w:rFonts w:ascii="Times New Roman" w:hAnsi="Times New Roman" w:cs="Times New Roman"/>
          <w:b/>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0;margin-top:8.35pt;width:45.75pt;height:0;z-index:251679744" o:connectortype="straight" strokecolor="red" strokeweight="6pt"/>
        </w:pict>
      </w:r>
      <w:r w:rsidRPr="008552F4">
        <w:rPr>
          <w:b/>
          <w:color w:val="002060"/>
        </w:rPr>
        <w:t>Les axes de transports majeurs</w:t>
      </w:r>
      <w:r>
        <w:rPr>
          <w:color w:val="002060"/>
        </w:rPr>
        <w:t xml:space="preserve"> (Cumulant les Lignes à Grande Vitesse, LGV, à la vitesse supérieure à 205 km/h et les voies autoroutières à trois fois deux voies). Ces axes de communication connectent les espaces productifs avec la Mégalopole européenne et le reste du continent.</w:t>
      </w:r>
    </w:p>
    <w:p w:rsidR="00106E50" w:rsidRDefault="00C36DE0" w:rsidP="00C36DE0">
      <w:pPr>
        <w:ind w:left="1843"/>
        <w:jc w:val="both"/>
        <w:rPr>
          <w:color w:val="002060"/>
        </w:rPr>
      </w:pPr>
      <w:r>
        <w:rPr>
          <w:rFonts w:ascii="Times New Roman" w:hAnsi="Times New Roman" w:cs="Times New Roman"/>
          <w:sz w:val="24"/>
          <w:szCs w:val="24"/>
        </w:rPr>
        <w:pict>
          <v:shape id="_x0000_s1041" type="#_x0000_t32" style="position:absolute;left:0;text-align:left;margin-left:3.75pt;margin-top:10.85pt;width:35.25pt;height:0;z-index:251681792" o:connectortype="straight" strokecolor="red" strokeweight="1.5pt"/>
        </w:pict>
      </w:r>
      <w:r>
        <w:rPr>
          <w:color w:val="002060"/>
        </w:rPr>
        <w:t>Axes de transports d’importance nationale connectant la région capitale avec les métropoles d’équilibre situées en périphérie du territoire métropolitain. </w:t>
      </w:r>
    </w:p>
    <w:p w:rsidR="00C36DE0" w:rsidRDefault="00903567" w:rsidP="00C36DE0">
      <w:pPr>
        <w:ind w:left="1843"/>
        <w:jc w:val="both"/>
        <w:rPr>
          <w:color w:val="002060"/>
        </w:rPr>
      </w:pPr>
      <w:r>
        <w:rPr>
          <w:rFonts w:ascii="Times New Roman" w:hAnsi="Times New Roman" w:cs="Times New Roman"/>
          <w:sz w:val="24"/>
          <w:szCs w:val="24"/>
        </w:rPr>
        <w:pict>
          <v:shape id="_x0000_s1064" type="#_x0000_t202" style="position:absolute;left:0;text-align:left;margin-left:28.55pt;margin-top:51.25pt;width:38.3pt;height:26.5pt;z-index:251707392" filled="f" stroked="f" strokecolor="white [3212]">
            <v:textbox style="mso-next-textbox:#_x0000_s1064">
              <w:txbxContent>
                <w:p w:rsidR="00903567" w:rsidRDefault="00903567" w:rsidP="00903567">
                  <w:pPr>
                    <w:rPr>
                      <w:rFonts w:ascii="Freestyle Script" w:hAnsi="Freestyle Script"/>
                      <w:color w:val="002060"/>
                      <w:sz w:val="32"/>
                      <w:szCs w:val="32"/>
                    </w:rPr>
                  </w:pPr>
                  <w:r>
                    <w:rPr>
                      <w:rFonts w:ascii="Freestyle Script" w:hAnsi="Freestyle Script"/>
                      <w:color w:val="002060"/>
                      <w:sz w:val="32"/>
                      <w:szCs w:val="32"/>
                    </w:rPr>
                    <w:t>Seine</w:t>
                  </w:r>
                </w:p>
              </w:txbxContent>
            </v:textbox>
          </v:shape>
        </w:pict>
      </w:r>
      <w:r w:rsidR="0072362F" w:rsidRPr="008552F4">
        <w:rPr>
          <w:rFonts w:ascii="Times New Roman" w:hAnsi="Times New Roman" w:cs="Times New Roman"/>
          <w:b/>
          <w:sz w:val="24"/>
          <w:szCs w:val="24"/>
        </w:rPr>
        <w:pict>
          <v:group id="_x0000_s1042" style="position:absolute;left:0;text-align:left;margin-left:16.15pt;margin-top:-4.65pt;width:22.5pt;height:36.75pt;rotation:270;z-index:251683840" coordorigin="2400,6270" coordsize="450,73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3" type="#_x0000_t5" style="position:absolute;left:2400;top:6270;width:450;height:435" fillcolor="#0070c0"/>
            <v:oval id="_x0000_s1044" style="position:absolute;left:2400;top:6540;width:450;height:315" stroked="f"/>
            <v:oval id="_x0000_s1045" style="position:absolute;left:2400;top:6630;width:435;height:375" fillcolor="#0070c0" stroked="f"/>
          </v:group>
        </w:pict>
      </w:r>
      <w:r w:rsidR="00C36DE0" w:rsidRPr="008552F4">
        <w:rPr>
          <w:rFonts w:ascii="Times New Roman" w:hAnsi="Times New Roman" w:cs="Times New Roman"/>
          <w:b/>
          <w:sz w:val="24"/>
          <w:szCs w:val="24"/>
        </w:rPr>
        <w:pict>
          <v:shape id="_x0000_s1046" type="#_x0000_t202" style="position:absolute;left:0;text-align:left;margin-left:-12.75pt;margin-top:25pt;width:108.75pt;height:19.2pt;z-index:251684864" filled="f" fillcolor="white [3212]" stroked="f">
            <v:textbox style="mso-next-textbox:#_x0000_s1046">
              <w:txbxContent>
                <w:p w:rsidR="00C36DE0" w:rsidRDefault="00C36DE0" w:rsidP="00C36DE0">
                  <w:pPr>
                    <w:pStyle w:val="Sansinterligne"/>
                    <w:rPr>
                      <w:b/>
                      <w:color w:val="002060"/>
                      <w:sz w:val="20"/>
                      <w:szCs w:val="20"/>
                    </w:rPr>
                  </w:pPr>
                  <w:r>
                    <w:rPr>
                      <w:b/>
                      <w:color w:val="002060"/>
                      <w:sz w:val="20"/>
                      <w:szCs w:val="20"/>
                    </w:rPr>
                    <w:t>Nantes-Saint Nazaire</w:t>
                  </w:r>
                </w:p>
              </w:txbxContent>
            </v:textbox>
          </v:shape>
        </w:pict>
      </w:r>
      <w:r w:rsidR="00C36DE0" w:rsidRPr="008552F4">
        <w:rPr>
          <w:b/>
          <w:color w:val="002060"/>
        </w:rPr>
        <w:t>Principales Zones Industrialo Portuaires</w:t>
      </w:r>
      <w:r w:rsidR="00C36DE0">
        <w:rPr>
          <w:color w:val="002060"/>
        </w:rPr>
        <w:t xml:space="preserve"> (ZIP) majeures (Tonnage de fret </w:t>
      </w:r>
      <w:r w:rsidR="00C36DE0">
        <w:rPr>
          <w:rFonts w:cstheme="minorHAnsi"/>
          <w:color w:val="002060"/>
        </w:rPr>
        <w:t>&gt;</w:t>
      </w:r>
      <w:r w:rsidR="00C36DE0">
        <w:rPr>
          <w:color w:val="002060"/>
        </w:rPr>
        <w:t xml:space="preserve"> à 70 millions de tonnes transbordées par an). Leur importance est très secondaire à l’échelle mondiale mais elles jouent un rôle majeur à l’échelle régionale (</w:t>
      </w:r>
      <w:proofErr w:type="spellStart"/>
      <w:r w:rsidR="00C36DE0" w:rsidRPr="00C36DE0">
        <w:rPr>
          <w:i/>
          <w:color w:val="002060"/>
        </w:rPr>
        <w:t>Northern</w:t>
      </w:r>
      <w:proofErr w:type="spellEnd"/>
      <w:r w:rsidR="00C36DE0" w:rsidRPr="00C36DE0">
        <w:rPr>
          <w:i/>
          <w:color w:val="002060"/>
        </w:rPr>
        <w:t xml:space="preserve"> Range</w:t>
      </w:r>
      <w:r w:rsidR="00C36DE0">
        <w:rPr>
          <w:color w:val="002060"/>
        </w:rPr>
        <w:t xml:space="preserve"> et Méditerranée). </w:t>
      </w:r>
    </w:p>
    <w:p w:rsidR="00700446" w:rsidRDefault="008552F4" w:rsidP="00C36DE0">
      <w:pPr>
        <w:ind w:left="1843"/>
        <w:jc w:val="both"/>
        <w:rPr>
          <w:color w:val="002060"/>
        </w:rPr>
      </w:pPr>
      <w:r w:rsidRPr="008552F4">
        <w:rPr>
          <w:rFonts w:ascii="Times New Roman" w:hAnsi="Times New Roman" w:cs="Times New Roman"/>
          <w:b/>
          <w:sz w:val="24"/>
          <w:szCs w:val="24"/>
        </w:rPr>
        <w:pict>
          <v:shape id="_x0000_s1048" style="position:absolute;left:0;text-align:left;margin-left:9pt;margin-top:10.5pt;width:39pt;height:18.75pt;z-index:251688960" coordsize="780,375" path="m780,375hdc775,345,780,311,765,285v-3,-6,-88,-26,-105,-30c665,240,681,225,675,210v-7,-17,-34,-16,-45,-30c620,168,622,149,615,135,607,119,595,105,585,90v-15,5,-33,5,-45,15c488,147,532,183,480,105,475,80,486,44,465,30v-16,-11,-44,88,-45,90c405,110,385,105,375,90,326,17,409,18,300,45,290,60,287,83,270,90,255,96,240,79,225,75,149,53,71,36,,e" filled="f" strokecolor="#0070c0" strokeweight="4.5pt">
            <v:path arrowok="t"/>
          </v:shape>
        </w:pict>
      </w:r>
      <w:r w:rsidRPr="008552F4">
        <w:rPr>
          <w:b/>
          <w:color w:val="002060"/>
        </w:rPr>
        <w:t>Les grandes vallées fluviales :</w:t>
      </w:r>
      <w:r>
        <w:rPr>
          <w:color w:val="002060"/>
        </w:rPr>
        <w:t> elles assurent aux ZIP des hinterlands et des arrières pays, gagent de leur dynamisme. Elles sont voies d’industrialisation et d’urbanisation et forment parfois de gigantesques conurbations régionales comme dans la basse vallée de la Seine (Paris-Le Havre). </w:t>
      </w:r>
    </w:p>
    <w:p w:rsidR="008552F4" w:rsidRPr="00106E50" w:rsidRDefault="008552F4" w:rsidP="00C36DE0">
      <w:pPr>
        <w:ind w:left="1843"/>
        <w:jc w:val="both"/>
        <w:rPr>
          <w:color w:val="002060"/>
        </w:rPr>
      </w:pPr>
      <w:r w:rsidRPr="008552F4">
        <w:rPr>
          <w:rFonts w:ascii="Times New Roman" w:hAnsi="Times New Roman" w:cs="Times New Roman"/>
          <w:b/>
          <w:sz w:val="24"/>
          <w:szCs w:val="24"/>
        </w:rPr>
        <w:pict>
          <v:rect id="_x0000_s1049" style="position:absolute;left:0;text-align:left;margin-left:6.7pt;margin-top:13.5pt;width:15.75pt;height:17.25pt;z-index:251691008" fillcolor="#92cddc [1944]" strokecolor="#002060" strokeweight="2.25pt"/>
        </w:pict>
      </w:r>
      <w:r w:rsidRPr="008552F4">
        <w:rPr>
          <w:rFonts w:ascii="Times New Roman" w:hAnsi="Times New Roman" w:cs="Times New Roman"/>
          <w:b/>
          <w:sz w:val="24"/>
          <w:szCs w:val="24"/>
        </w:rPr>
        <w:pict>
          <v:rect id="_x0000_s1050" style="position:absolute;left:0;text-align:left;margin-left:30.7pt;margin-top:13.5pt;width:15.75pt;height:17.25pt;z-index:251693056" fillcolor="white [3212]" strokecolor="#002060" strokeweight="2.25pt"/>
        </w:pict>
      </w:r>
      <w:r w:rsidRPr="008552F4">
        <w:rPr>
          <w:b/>
          <w:color w:val="002060"/>
        </w:rPr>
        <w:t>Principaux aéroports européens.</w:t>
      </w:r>
      <w:r>
        <w:rPr>
          <w:color w:val="002060"/>
        </w:rPr>
        <w:t> Parmi les 15 1ers aéroports de passagers et de fret d’Europe. Roissy CDG est le 6 aéroport mondial et le 2</w:t>
      </w:r>
      <w:r w:rsidRPr="008552F4">
        <w:rPr>
          <w:color w:val="002060"/>
          <w:vertAlign w:val="superscript"/>
        </w:rPr>
        <w:t>e</w:t>
      </w:r>
      <w:r>
        <w:rPr>
          <w:color w:val="002060"/>
        </w:rPr>
        <w:t xml:space="preserve"> aéroport européen. Orly est le 10</w:t>
      </w:r>
      <w:r w:rsidRPr="008552F4">
        <w:rPr>
          <w:color w:val="002060"/>
          <w:vertAlign w:val="superscript"/>
        </w:rPr>
        <w:t>e</w:t>
      </w:r>
      <w:r>
        <w:rPr>
          <w:color w:val="002060"/>
        </w:rPr>
        <w:t xml:space="preserve"> aéroport européen. Tous deux forment des plateformes multimodales très attractives. L’aéroport du Bourget est le 1</w:t>
      </w:r>
      <w:r w:rsidRPr="008552F4">
        <w:rPr>
          <w:color w:val="002060"/>
          <w:vertAlign w:val="superscript"/>
        </w:rPr>
        <w:t>er</w:t>
      </w:r>
      <w:r>
        <w:rPr>
          <w:color w:val="002060"/>
        </w:rPr>
        <w:t xml:space="preserve"> aéroport d’affaires d’Europe. </w:t>
      </w:r>
    </w:p>
    <w:p w:rsidR="000E1073" w:rsidRPr="00106E50" w:rsidRDefault="00106E50" w:rsidP="000E1073">
      <w:pPr>
        <w:jc w:val="both"/>
        <w:rPr>
          <w:b/>
          <w:color w:val="002060"/>
        </w:rPr>
      </w:pPr>
      <w:r w:rsidRPr="00106E50">
        <w:rPr>
          <w:b/>
          <w:color w:val="002060"/>
        </w:rPr>
        <w:t>2. </w:t>
      </w:r>
      <w:r w:rsidR="00294D81">
        <w:rPr>
          <w:b/>
          <w:color w:val="002060"/>
        </w:rPr>
        <w:t>Une attractivité mondiale grâce à l</w:t>
      </w:r>
      <w:r w:rsidRPr="00106E50">
        <w:rPr>
          <w:b/>
          <w:color w:val="002060"/>
        </w:rPr>
        <w:t>’économie de la connaissance</w:t>
      </w:r>
      <w:r w:rsidR="00294D81">
        <w:rPr>
          <w:b/>
          <w:color w:val="002060"/>
        </w:rPr>
        <w:t xml:space="preserve"> et les sites touristiques</w:t>
      </w:r>
      <w:r w:rsidRPr="00106E50">
        <w:rPr>
          <w:b/>
          <w:color w:val="002060"/>
        </w:rPr>
        <w:t>. </w:t>
      </w:r>
    </w:p>
    <w:p w:rsidR="000E1073" w:rsidRDefault="00C040F2" w:rsidP="00AB02FB">
      <w:pPr>
        <w:ind w:left="1843"/>
        <w:jc w:val="both"/>
        <w:rPr>
          <w:color w:val="002060"/>
        </w:rPr>
      </w:pPr>
      <w:r>
        <w:rPr>
          <w:rFonts w:ascii="Times New Roman" w:hAnsi="Times New Roman" w:cs="Times New Roman"/>
          <w:sz w:val="24"/>
          <w:szCs w:val="24"/>
        </w:rPr>
        <w:pict>
          <v:shape id="_x0000_s1063" type="#_x0000_t202" style="position:absolute;left:0;text-align:left;margin-left:-12.75pt;margin-top:82.15pt;width:103.15pt;height:19.2pt;z-index:251705344" filled="f" fillcolor="white [3212]" stroked="f">
            <v:textbox style="mso-next-textbox:#_x0000_s1063">
              <w:txbxContent>
                <w:p w:rsidR="00C040F2" w:rsidRDefault="00C040F2" w:rsidP="00C040F2">
                  <w:pPr>
                    <w:pStyle w:val="Sansinterligne"/>
                    <w:rPr>
                      <w:b/>
                      <w:color w:val="002060"/>
                      <w:sz w:val="20"/>
                      <w:szCs w:val="20"/>
                    </w:rPr>
                  </w:pPr>
                  <w:r>
                    <w:rPr>
                      <w:b/>
                      <w:color w:val="002060"/>
                      <w:sz w:val="20"/>
                      <w:szCs w:val="20"/>
                    </w:rPr>
                    <w:t>Mont Saint Michel</w:t>
                  </w:r>
                </w:p>
              </w:txbxContent>
            </v:textbox>
          </v:shape>
        </w:pict>
      </w:r>
      <w:r w:rsidR="00871071">
        <w:rPr>
          <w:rFonts w:ascii="Times New Roman" w:hAnsi="Times New Roman" w:cs="Times New Roman"/>
          <w:sz w:val="24"/>
          <w:szCs w:val="24"/>
        </w:rPr>
        <w:pict>
          <v:shapetype id="_x0000_t4" coordsize="21600,21600" o:spt="4" path="m10800,l,10800,10800,21600,21600,10800xe">
            <v:stroke joinstyle="miter"/>
            <v:path gradientshapeok="t" o:connecttype="rect" textboxrect="5400,5400,16200,16200"/>
          </v:shapetype>
          <v:shape id="_x0000_s1051" type="#_x0000_t4" style="position:absolute;left:0;text-align:left;margin-left:3.75pt;margin-top:15.65pt;width:24pt;height:23.7pt;z-index:251695104" fillcolor="#bfbfbf [2412]" strokecolor="gray [1629]" strokeweight="3pt"/>
        </w:pict>
      </w:r>
      <w:r w:rsidR="00AB02FB" w:rsidRPr="00AB02FB">
        <w:rPr>
          <w:b/>
          <w:color w:val="002060"/>
        </w:rPr>
        <w:t>Les grands campus français de rayonnement mondial.</w:t>
      </w:r>
      <w:r w:rsidR="00AB02FB">
        <w:rPr>
          <w:color w:val="002060"/>
        </w:rPr>
        <w:t xml:space="preserve"> On trouve des technopôles (Comme </w:t>
      </w:r>
      <w:r w:rsidR="00AB02FB" w:rsidRPr="00AB02FB">
        <w:rPr>
          <w:i/>
          <w:color w:val="002060"/>
        </w:rPr>
        <w:t>Sofia-Antipolis</w:t>
      </w:r>
      <w:r w:rsidR="00AB02FB">
        <w:rPr>
          <w:color w:val="002060"/>
        </w:rPr>
        <w:t>) ou des pôles de compétitivité (Orsay-Saclay) ou des grandes universités groupées en réseau (La Sorbonne) et des grandes écoles (</w:t>
      </w:r>
      <w:r w:rsidR="00AB02FB">
        <w:rPr>
          <w:rFonts w:cstheme="minorHAnsi"/>
          <w:color w:val="002060"/>
        </w:rPr>
        <w:t>É</w:t>
      </w:r>
      <w:r w:rsidR="00AB02FB">
        <w:rPr>
          <w:color w:val="002060"/>
        </w:rPr>
        <w:t xml:space="preserve">coles Normales Supérieures, </w:t>
      </w:r>
      <w:r w:rsidR="00AB02FB">
        <w:rPr>
          <w:rFonts w:cstheme="minorHAnsi"/>
          <w:color w:val="002060"/>
        </w:rPr>
        <w:t>É</w:t>
      </w:r>
      <w:r w:rsidR="00AB02FB">
        <w:rPr>
          <w:color w:val="002060"/>
        </w:rPr>
        <w:t xml:space="preserve">coles de commerce, </w:t>
      </w:r>
      <w:r w:rsidR="00AB02FB" w:rsidRPr="00AB02FB">
        <w:rPr>
          <w:i/>
          <w:color w:val="002060"/>
        </w:rPr>
        <w:t>etc</w:t>
      </w:r>
      <w:r w:rsidR="00AB02FB">
        <w:rPr>
          <w:color w:val="002060"/>
        </w:rPr>
        <w:t>.). Ces campus permettent l’innovation, gage de croissance à long terme, et attirent investissements et chercheurs du monde entier. </w:t>
      </w:r>
    </w:p>
    <w:p w:rsidR="00294D81" w:rsidRDefault="00294D81" w:rsidP="00AB02FB">
      <w:pPr>
        <w:ind w:left="1843"/>
        <w:jc w:val="both"/>
        <w:rPr>
          <w:color w:val="002060"/>
        </w:rPr>
      </w:pPr>
      <w:r w:rsidRPr="00C75B41">
        <w:rPr>
          <w:rFonts w:ascii="Times New Roman" w:hAnsi="Times New Roman" w:cs="Times New Roman"/>
          <w:b/>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2" type="#_x0000_t12" style="position:absolute;left:0;text-align:left;margin-left:6.7pt;margin-top:7.35pt;width:21.85pt;height:21pt;z-index:251697152" fillcolor="#002060"/>
        </w:pict>
      </w:r>
      <w:r w:rsidRPr="00C75B41">
        <w:rPr>
          <w:b/>
          <w:color w:val="002060"/>
        </w:rPr>
        <w:t>Hauts lieux touristiques.</w:t>
      </w:r>
      <w:r>
        <w:rPr>
          <w:color w:val="002060"/>
        </w:rPr>
        <w:t> Ils constituent souvent un argument phare dans la promotion des produits français associés au luxe et au bon goût. Ils participent à la constitution de la marque « France ». </w:t>
      </w:r>
    </w:p>
    <w:p w:rsidR="00C75B41" w:rsidRDefault="00C75B41" w:rsidP="00AB02FB">
      <w:pPr>
        <w:ind w:left="1843"/>
        <w:jc w:val="both"/>
        <w:rPr>
          <w:color w:val="002060"/>
        </w:rPr>
      </w:pPr>
    </w:p>
    <w:p w:rsidR="00C75B41" w:rsidRDefault="00C75B41" w:rsidP="00AB02FB">
      <w:pPr>
        <w:ind w:left="1843"/>
        <w:jc w:val="both"/>
        <w:rPr>
          <w:color w:val="002060"/>
        </w:rPr>
      </w:pPr>
    </w:p>
    <w:p w:rsidR="00C75B41" w:rsidRDefault="00C75B41" w:rsidP="00AB02FB">
      <w:pPr>
        <w:ind w:left="1843"/>
        <w:jc w:val="both"/>
        <w:rPr>
          <w:color w:val="002060"/>
        </w:rPr>
      </w:pPr>
    </w:p>
    <w:p w:rsidR="00C75B41" w:rsidRDefault="00C75B41" w:rsidP="00AB02FB">
      <w:pPr>
        <w:ind w:left="1843"/>
        <w:jc w:val="both"/>
        <w:rPr>
          <w:color w:val="002060"/>
        </w:rPr>
      </w:pPr>
    </w:p>
    <w:p w:rsidR="00C75B41" w:rsidRDefault="00C75B41" w:rsidP="00AB02FB">
      <w:pPr>
        <w:ind w:left="1843"/>
        <w:jc w:val="both"/>
        <w:rPr>
          <w:color w:val="002060"/>
        </w:rPr>
      </w:pPr>
    </w:p>
    <w:p w:rsidR="00C75B41" w:rsidRDefault="00C75B41" w:rsidP="00AB02FB">
      <w:pPr>
        <w:ind w:left="1843"/>
        <w:jc w:val="both"/>
        <w:rPr>
          <w:color w:val="002060"/>
        </w:rPr>
      </w:pPr>
    </w:p>
    <w:p w:rsidR="00C75B41" w:rsidRDefault="00C75B41" w:rsidP="00AB02FB">
      <w:pPr>
        <w:ind w:left="1843"/>
        <w:jc w:val="both"/>
        <w:rPr>
          <w:color w:val="002060"/>
        </w:rPr>
      </w:pPr>
    </w:p>
    <w:p w:rsidR="00C75B41" w:rsidRDefault="00C75B41" w:rsidP="00AB02FB">
      <w:pPr>
        <w:ind w:left="1843"/>
        <w:jc w:val="both"/>
        <w:rPr>
          <w:color w:val="002060"/>
        </w:rPr>
      </w:pPr>
    </w:p>
    <w:p w:rsidR="00C75B41" w:rsidRPr="00106E50" w:rsidRDefault="00C75B41" w:rsidP="007A36D7">
      <w:pPr>
        <w:jc w:val="both"/>
        <w:rPr>
          <w:color w:val="002060"/>
        </w:rPr>
      </w:pPr>
    </w:p>
    <w:p w:rsidR="000E1073" w:rsidRPr="00700446" w:rsidRDefault="00700446" w:rsidP="000E1073">
      <w:pPr>
        <w:jc w:val="both"/>
        <w:rPr>
          <w:b/>
          <w:color w:val="FF0000"/>
        </w:rPr>
      </w:pPr>
      <w:r>
        <w:rPr>
          <w:b/>
          <w:color w:val="FF0000"/>
        </w:rPr>
        <w:t>III. </w:t>
      </w:r>
      <w:r w:rsidR="00CD7985">
        <w:rPr>
          <w:b/>
          <w:color w:val="FF0000"/>
        </w:rPr>
        <w:t>L’ENVIRONNEMENT EUROP</w:t>
      </w:r>
      <w:r w:rsidR="00CD7985">
        <w:rPr>
          <w:rFonts w:cstheme="minorHAnsi"/>
          <w:b/>
          <w:color w:val="FF0000"/>
        </w:rPr>
        <w:t>É</w:t>
      </w:r>
      <w:r w:rsidR="00CD7985">
        <w:rPr>
          <w:b/>
          <w:color w:val="FF0000"/>
        </w:rPr>
        <w:t>EN ET MONDIAL : LES CONDITIONS DE LA CROISSANCE ET DU DYNAMISME DES ESPACES PRODUCTIFS. </w:t>
      </w:r>
    </w:p>
    <w:p w:rsidR="000E1073" w:rsidRPr="00700446" w:rsidRDefault="00443E65" w:rsidP="008552F4">
      <w:pPr>
        <w:ind w:left="1843"/>
        <w:jc w:val="both"/>
        <w:rPr>
          <w:color w:val="002060"/>
        </w:rPr>
      </w:pPr>
      <w:r w:rsidRPr="00C75B41">
        <w:rPr>
          <w:rFonts w:ascii="Times New Roman" w:hAnsi="Times New Roman" w:cs="Times New Roman"/>
          <w:b/>
          <w:sz w:val="24"/>
          <w:szCs w:val="24"/>
        </w:rPr>
        <w:pict>
          <v:rect id="_x0000_s1047" style="position:absolute;left:0;text-align:left;margin-left:-1.7pt;margin-top:3.15pt;width:40.7pt;height:17.35pt;z-index:251686912" filled="f" strokecolor="#002060" strokeweight="2.25pt">
            <v:stroke dashstyle="1 1"/>
          </v:rect>
        </w:pict>
      </w:r>
      <w:r w:rsidRPr="00C75B41">
        <w:rPr>
          <w:b/>
          <w:color w:val="002060"/>
        </w:rPr>
        <w:t xml:space="preserve">Terminaison sud-ouest de la </w:t>
      </w:r>
      <w:proofErr w:type="spellStart"/>
      <w:r w:rsidRPr="00C75B41">
        <w:rPr>
          <w:b/>
          <w:i/>
          <w:color w:val="002060"/>
        </w:rPr>
        <w:t>Northern</w:t>
      </w:r>
      <w:proofErr w:type="spellEnd"/>
      <w:r w:rsidRPr="00C75B41">
        <w:rPr>
          <w:b/>
          <w:i/>
          <w:color w:val="002060"/>
        </w:rPr>
        <w:t xml:space="preserve"> Range</w:t>
      </w:r>
      <w:r w:rsidRPr="00C75B41">
        <w:rPr>
          <w:b/>
          <w:color w:val="002060"/>
        </w:rPr>
        <w:t>.</w:t>
      </w:r>
      <w:r>
        <w:rPr>
          <w:color w:val="002060"/>
        </w:rPr>
        <w:t> C’est la porte d’entrée maritime de l’Europe vis-à-vis du Reste Du Monde (RDM). </w:t>
      </w:r>
    </w:p>
    <w:p w:rsidR="000E1073" w:rsidRPr="00700446" w:rsidRDefault="00294D81" w:rsidP="008552F4">
      <w:pPr>
        <w:ind w:left="1843"/>
        <w:jc w:val="both"/>
        <w:rPr>
          <w:color w:val="002060"/>
        </w:rPr>
      </w:pPr>
      <w:r w:rsidRPr="00C75B41">
        <w:rPr>
          <w:rFonts w:ascii="Times New Roman" w:hAnsi="Times New Roman" w:cs="Times New Roman"/>
          <w:b/>
          <w:sz w:val="24"/>
          <w:szCs w:val="24"/>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4" type="#_x0000_t70" style="position:absolute;left:0;text-align:left;margin-left:12.25pt;margin-top:-7.25pt;width:15.6pt;height:43.45pt;rotation:4615454fd;z-index:251701248" fillcolor="#95b3d7 [1940]" strokecolor="#002060">
            <v:textbox style="layout-flow:vertical-ideographic"/>
          </v:shape>
        </w:pict>
      </w:r>
      <w:r w:rsidRPr="00C75B41">
        <w:rPr>
          <w:b/>
          <w:color w:val="002060"/>
        </w:rPr>
        <w:t>Passages maritimes stratégiques.</w:t>
      </w:r>
      <w:r>
        <w:rPr>
          <w:color w:val="002060"/>
        </w:rPr>
        <w:t> Ils assurent à la France un rôle directeur dans la surveillance des eaux et des littoraux européens et dans leur protection. </w:t>
      </w:r>
    </w:p>
    <w:p w:rsidR="000E1073" w:rsidRPr="00700446" w:rsidRDefault="00294D81" w:rsidP="008552F4">
      <w:pPr>
        <w:ind w:left="1843"/>
        <w:jc w:val="both"/>
        <w:rPr>
          <w:color w:val="002060"/>
        </w:rPr>
      </w:pPr>
      <w:r w:rsidRPr="00C75B41">
        <w:rPr>
          <w:rFonts w:ascii="Times New Roman" w:hAnsi="Times New Roman" w:cs="Times New Roman"/>
          <w:b/>
          <w:sz w:val="24"/>
          <w:szCs w:val="24"/>
        </w:rPr>
        <w:pict>
          <v:group id="_x0000_s1059" style="position:absolute;left:0;text-align:left;margin-left:-.8pt;margin-top:12.25pt;width:37.5pt;height:16.5pt;rotation:12982928fd;z-index:251703296" coordorigin="9615,3600" coordsize="750,330">
            <v:rect id="_x0000_s1060" style="position:absolute;left:9615;top:3600;width:165;height:330" fillcolor="red" stroked="f"/>
            <v:rect id="_x0000_s1061" style="position:absolute;left:9851;top:3600;width:165;height:330" fillcolor="red" stroked="f"/>
            <v:shape id="_x0000_s1062" type="#_x0000_t5" style="position:absolute;left:10065;top:3630;width:330;height:270;rotation:90" fillcolor="red" stroked="f"/>
          </v:group>
        </w:pict>
      </w:r>
      <w:r w:rsidRPr="00C75B41">
        <w:rPr>
          <w:b/>
          <w:color w:val="002060"/>
        </w:rPr>
        <w:t>Grands ouvrages et grands aménagements</w:t>
      </w:r>
      <w:r>
        <w:rPr>
          <w:color w:val="002060"/>
        </w:rPr>
        <w:t xml:space="preserve"> permettent le raccordement du réseau de transport français au réseau européen : gares associées à des plateformes multimodales pour le ferroutage, ponts et viaducs, tunnel comme le tunnel sous la Manche. </w:t>
      </w:r>
    </w:p>
    <w:p w:rsidR="00AB02FB" w:rsidRDefault="00D1114E" w:rsidP="00294D81">
      <w:pPr>
        <w:ind w:left="1843"/>
        <w:jc w:val="both"/>
        <w:rPr>
          <w:color w:val="002060"/>
        </w:rPr>
      </w:pPr>
      <w:r>
        <w:rPr>
          <w:rFonts w:ascii="Times New Roman" w:hAnsi="Times New Roman" w:cs="Times New Roman"/>
          <w:sz w:val="24"/>
          <w:szCs w:val="24"/>
        </w:rPr>
        <w:pict>
          <v:shape id="_x0000_s1065" type="#_x0000_t202" style="position:absolute;left:0;text-align:left;margin-left:-21.55pt;margin-top:67pt;width:107.05pt;height:50.25pt;z-index:251709440" filled="f" strokecolor="#548dd4 [1951]" strokeweight="2.25pt">
            <v:stroke dashstyle="1 1" endcap="round"/>
            <v:textbox>
              <w:txbxContent>
                <w:p w:rsidR="00D1114E" w:rsidRDefault="00D1114E" w:rsidP="00D1114E">
                  <w:pPr>
                    <w:pStyle w:val="Sansinterligne"/>
                    <w:jc w:val="center"/>
                    <w:rPr>
                      <w:color w:val="548DD4" w:themeColor="text2" w:themeTint="99"/>
                      <w:sz w:val="20"/>
                      <w:szCs w:val="20"/>
                    </w:rPr>
                  </w:pPr>
                  <w:r>
                    <w:rPr>
                      <w:b/>
                      <w:color w:val="548DD4" w:themeColor="text2" w:themeTint="99"/>
                      <w:sz w:val="20"/>
                      <w:szCs w:val="20"/>
                    </w:rPr>
                    <w:t>ALG</w:t>
                  </w:r>
                  <w:r>
                    <w:rPr>
                      <w:rFonts w:cstheme="minorHAnsi"/>
                      <w:b/>
                      <w:color w:val="548DD4" w:themeColor="text2" w:themeTint="99"/>
                      <w:sz w:val="20"/>
                      <w:szCs w:val="20"/>
                    </w:rPr>
                    <w:t>É</w:t>
                  </w:r>
                  <w:r>
                    <w:rPr>
                      <w:b/>
                      <w:color w:val="548DD4" w:themeColor="text2" w:themeTint="99"/>
                      <w:sz w:val="20"/>
                      <w:szCs w:val="20"/>
                    </w:rPr>
                    <w:t>RIE</w:t>
                  </w:r>
                  <w:r>
                    <w:rPr>
                      <w:color w:val="548DD4" w:themeColor="text2" w:themeTint="99"/>
                      <w:sz w:val="20"/>
                      <w:szCs w:val="20"/>
                    </w:rPr>
                    <w:t xml:space="preserve"> (Gaz naturel)</w:t>
                  </w:r>
                </w:p>
                <w:p w:rsidR="00D1114E" w:rsidRDefault="00D1114E" w:rsidP="00D1114E">
                  <w:pPr>
                    <w:pStyle w:val="Sansinterligne"/>
                    <w:jc w:val="center"/>
                    <w:rPr>
                      <w:color w:val="548DD4" w:themeColor="text2" w:themeTint="99"/>
                      <w:sz w:val="20"/>
                      <w:szCs w:val="20"/>
                    </w:rPr>
                  </w:pPr>
                  <w:r>
                    <w:rPr>
                      <w:b/>
                      <w:color w:val="548DD4" w:themeColor="text2" w:themeTint="99"/>
                      <w:sz w:val="20"/>
                      <w:szCs w:val="20"/>
                    </w:rPr>
                    <w:t>MOYEN ORIENT</w:t>
                  </w:r>
                  <w:r>
                    <w:rPr>
                      <w:color w:val="548DD4" w:themeColor="text2" w:themeTint="99"/>
                      <w:sz w:val="20"/>
                      <w:szCs w:val="20"/>
                    </w:rPr>
                    <w:t xml:space="preserve"> (Pétrole)</w:t>
                  </w:r>
                </w:p>
              </w:txbxContent>
            </v:textbox>
          </v:shape>
        </w:pict>
      </w:r>
      <w:r w:rsidR="00294D81" w:rsidRPr="00C75B41">
        <w:rPr>
          <w:rFonts w:ascii="Times New Roman" w:hAnsi="Times New Roman" w:cs="Times New Roman"/>
          <w:b/>
          <w:sz w:val="24"/>
          <w:szCs w:val="24"/>
        </w:rPr>
        <w:pict>
          <v:oval id="_x0000_s1053" style="position:absolute;left:0;text-align:left;margin-left:9.75pt;margin-top:15.85pt;width:27.75pt;height:27.75pt;z-index:251699200" fillcolor="#f2f2f2 [3052]" strokecolor="red" strokeweight="4.5pt">
            <v:stroke linestyle="thinThick"/>
          </v:oval>
        </w:pict>
      </w:r>
      <w:r w:rsidR="00294D81" w:rsidRPr="00C75B41">
        <w:rPr>
          <w:b/>
          <w:color w:val="002060"/>
        </w:rPr>
        <w:t>Grandes aires urbaines de la Mégalopole européenne</w:t>
      </w:r>
      <w:r w:rsidR="00294D81">
        <w:rPr>
          <w:color w:val="002060"/>
        </w:rPr>
        <w:t xml:space="preserve"> dont Paris est très excentrée. Le raccordement les espaces productifs français au cet ensemble dynamique est un des enjeux majeurs de l’aménag</w:t>
      </w:r>
      <w:r w:rsidR="005921E2">
        <w:rPr>
          <w:color w:val="002060"/>
        </w:rPr>
        <w:t>ement des territoires pour les c</w:t>
      </w:r>
      <w:r w:rsidR="00294D81">
        <w:rPr>
          <w:color w:val="002060"/>
        </w:rPr>
        <w:t>ollectivités territoriales des espaces les plus productifs. </w:t>
      </w:r>
    </w:p>
    <w:p w:rsidR="00C75B41" w:rsidRDefault="00D1114E" w:rsidP="00294D81">
      <w:pPr>
        <w:ind w:left="1843"/>
        <w:jc w:val="both"/>
        <w:rPr>
          <w:color w:val="002060"/>
        </w:rPr>
      </w:pPr>
      <w:r w:rsidRPr="00D1114E">
        <w:rPr>
          <w:b/>
          <w:color w:val="002060"/>
        </w:rPr>
        <w:t>Principaux partenaires commerciaux</w:t>
      </w:r>
      <w:r>
        <w:rPr>
          <w:color w:val="002060"/>
        </w:rPr>
        <w:t xml:space="preserve"> des ZIP françaises. Les ZIP de la </w:t>
      </w:r>
      <w:proofErr w:type="spellStart"/>
      <w:r w:rsidRPr="00D1114E">
        <w:rPr>
          <w:i/>
          <w:color w:val="002060"/>
        </w:rPr>
        <w:t>Northern</w:t>
      </w:r>
      <w:proofErr w:type="spellEnd"/>
      <w:r w:rsidRPr="00D1114E">
        <w:rPr>
          <w:i/>
          <w:color w:val="002060"/>
        </w:rPr>
        <w:t xml:space="preserve"> Range</w:t>
      </w:r>
      <w:r>
        <w:rPr>
          <w:color w:val="002060"/>
        </w:rPr>
        <w:t xml:space="preserve"> ont une orientation pêche et commerce diversifié tandis que les ports méditerranéens sont essentiellement des terminaux pour les hydrocarbures du Maghreb et du Moyen Orient. </w:t>
      </w: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294D81">
      <w:pPr>
        <w:ind w:left="1843"/>
        <w:jc w:val="both"/>
        <w:rPr>
          <w:color w:val="002060"/>
        </w:rPr>
      </w:pPr>
    </w:p>
    <w:p w:rsidR="00855D65" w:rsidRDefault="00855D65" w:rsidP="00D1114E">
      <w:pPr>
        <w:jc w:val="both"/>
        <w:rPr>
          <w:color w:val="002060"/>
        </w:rPr>
      </w:pPr>
    </w:p>
    <w:p w:rsidR="00855D65" w:rsidRDefault="00855D65" w:rsidP="00294D81">
      <w:pPr>
        <w:ind w:left="1843"/>
        <w:jc w:val="both"/>
        <w:rPr>
          <w:color w:val="002060"/>
        </w:rPr>
      </w:pPr>
    </w:p>
    <w:p w:rsidR="00855D65" w:rsidRDefault="00D1114E" w:rsidP="00855D65">
      <w:pPr>
        <w:jc w:val="both"/>
        <w:rPr>
          <w:b/>
          <w:color w:val="002060"/>
        </w:rPr>
      </w:pPr>
      <w:r>
        <w:rPr>
          <w:rFonts w:ascii="Times New Roman" w:hAnsi="Times New Roman" w:cs="Times New Roman"/>
          <w:sz w:val="24"/>
          <w:szCs w:val="24"/>
        </w:rPr>
        <w:pict>
          <v:shape id="_x0000_s1069" type="#_x0000_t202" style="position:absolute;left:0;text-align:left;margin-left:-1.5pt;margin-top:19.25pt;width:64.3pt;height:26.5pt;z-index:251717632" filled="f" strokecolor="white [3212]">
            <v:textbox style="mso-next-textbox:#_x0000_s1069">
              <w:txbxContent>
                <w:p w:rsidR="00D1114E" w:rsidRDefault="00D1114E" w:rsidP="00D1114E">
                  <w:pPr>
                    <w:rPr>
                      <w:rFonts w:ascii="Freestyle Script" w:hAnsi="Freestyle Script"/>
                      <w:color w:val="002060"/>
                      <w:sz w:val="32"/>
                      <w:szCs w:val="32"/>
                    </w:rPr>
                  </w:pPr>
                  <w:r>
                    <w:rPr>
                      <w:rFonts w:ascii="Freestyle Script" w:hAnsi="Freestyle Script"/>
                      <w:color w:val="002060"/>
                      <w:sz w:val="32"/>
                      <w:szCs w:val="32"/>
                    </w:rPr>
                    <w:t>Atlantique</w:t>
                  </w:r>
                </w:p>
              </w:txbxContent>
            </v:textbox>
          </v:shape>
        </w:pict>
      </w:r>
      <w:r w:rsidR="00855D65" w:rsidRPr="00855D65">
        <w:rPr>
          <w:b/>
          <w:color w:val="002060"/>
        </w:rPr>
        <w:t>Nomenclature : </w:t>
      </w:r>
    </w:p>
    <w:p w:rsidR="00D1114E" w:rsidRPr="00D1114E" w:rsidRDefault="00D1114E" w:rsidP="00D1114E">
      <w:pPr>
        <w:ind w:left="1843"/>
        <w:jc w:val="both"/>
        <w:rPr>
          <w:color w:val="002060"/>
        </w:rPr>
      </w:pPr>
      <w:r w:rsidRPr="00D1114E">
        <w:rPr>
          <w:rFonts w:ascii="Times New Roman" w:hAnsi="Times New Roman" w:cs="Times New Roman"/>
          <w:sz w:val="24"/>
          <w:szCs w:val="24"/>
        </w:rPr>
        <w:pict>
          <v:shape id="_x0000_s1066" type="#_x0000_t202" style="position:absolute;left:0;text-align:left;margin-left:-1.5pt;margin-top:24.8pt;width:61.5pt;height:21.75pt;z-index:251711488" strokecolor="#002060">
            <v:textbox style="mso-next-textbox:#_x0000_s1066">
              <w:txbxContent>
                <w:p w:rsidR="00D1114E" w:rsidRDefault="00D1114E" w:rsidP="00D1114E">
                  <w:pPr>
                    <w:rPr>
                      <w:color w:val="002060"/>
                    </w:rPr>
                  </w:pPr>
                  <w:r>
                    <w:rPr>
                      <w:b/>
                      <w:color w:val="002060"/>
                    </w:rPr>
                    <w:t>BELGIQUE</w:t>
                  </w:r>
                </w:p>
              </w:txbxContent>
            </v:textbox>
          </v:shape>
        </w:pict>
      </w:r>
      <w:r w:rsidRPr="00D1114E">
        <w:rPr>
          <w:color w:val="002060"/>
        </w:rPr>
        <w:t>Océans, mers, fleuves et cours d’eau principaux. </w:t>
      </w:r>
    </w:p>
    <w:p w:rsidR="00855D65" w:rsidRDefault="00D1114E" w:rsidP="00855D65">
      <w:pPr>
        <w:ind w:left="1843"/>
        <w:jc w:val="both"/>
        <w:rPr>
          <w:color w:val="002060"/>
        </w:rPr>
      </w:pPr>
      <w:r>
        <w:rPr>
          <w:color w:val="002060"/>
        </w:rPr>
        <w:t xml:space="preserve">Principaux </w:t>
      </w:r>
      <w:r>
        <w:rPr>
          <w:rFonts w:cstheme="minorHAnsi"/>
          <w:color w:val="002060"/>
        </w:rPr>
        <w:t>É</w:t>
      </w:r>
      <w:r>
        <w:rPr>
          <w:color w:val="002060"/>
        </w:rPr>
        <w:t>tats membres de l’Union Européenne, de l’espace Schengen et de la zone €</w:t>
      </w:r>
    </w:p>
    <w:p w:rsidR="00855D65" w:rsidRDefault="00D1114E" w:rsidP="00855D65">
      <w:pPr>
        <w:ind w:left="1843"/>
        <w:jc w:val="both"/>
        <w:rPr>
          <w:color w:val="002060"/>
        </w:rPr>
      </w:pPr>
      <w:r>
        <w:rPr>
          <w:rFonts w:ascii="Times New Roman" w:hAnsi="Times New Roman" w:cs="Times New Roman"/>
          <w:sz w:val="24"/>
          <w:szCs w:val="24"/>
        </w:rPr>
        <w:pict>
          <v:shape id="_x0000_s1068" type="#_x0000_t202" style="position:absolute;left:0;text-align:left;margin-left:3.25pt;margin-top:37.6pt;width:49.85pt;height:19.5pt;z-index:251715584" filled="f" stroked="f">
            <v:textbox style="mso-next-textbox:#_x0000_s1068">
              <w:txbxContent>
                <w:p w:rsidR="00D1114E" w:rsidRDefault="00D1114E" w:rsidP="00D1114E">
                  <w:pPr>
                    <w:rPr>
                      <w:b/>
                      <w:color w:val="FF0000"/>
                      <w:sz w:val="20"/>
                      <w:szCs w:val="20"/>
                      <w:u w:val="single"/>
                    </w:rPr>
                  </w:pPr>
                  <w:r>
                    <w:rPr>
                      <w:b/>
                      <w:color w:val="FF0000"/>
                      <w:sz w:val="20"/>
                      <w:szCs w:val="20"/>
                      <w:u w:val="single"/>
                    </w:rPr>
                    <w:t>Lille</w:t>
                  </w:r>
                </w:p>
              </w:txbxContent>
            </v:textbox>
          </v:shape>
        </w:pict>
      </w:r>
      <w:r>
        <w:rPr>
          <w:rFonts w:ascii="Times New Roman" w:hAnsi="Times New Roman" w:cs="Times New Roman"/>
          <w:sz w:val="24"/>
          <w:szCs w:val="24"/>
        </w:rPr>
        <w:pict>
          <v:shape id="_x0000_s1067" type="#_x0000_t202" style="position:absolute;left:0;text-align:left;margin-left:-1.5pt;margin-top:6.1pt;width:48.2pt;height:21.75pt;z-index:251713536" filled="f" stroked="f" strokecolor="#002060">
            <v:textbox style="mso-next-textbox:#_x0000_s1067">
              <w:txbxContent>
                <w:p w:rsidR="00D1114E" w:rsidRDefault="00D1114E" w:rsidP="00D1114E">
                  <w:pPr>
                    <w:rPr>
                      <w:b/>
                      <w:color w:val="002060"/>
                    </w:rPr>
                  </w:pPr>
                  <w:r>
                    <w:rPr>
                      <w:b/>
                      <w:color w:val="002060"/>
                    </w:rPr>
                    <w:t>SUISSE</w:t>
                  </w:r>
                </w:p>
              </w:txbxContent>
            </v:textbox>
          </v:shape>
        </w:pict>
      </w:r>
      <w:r>
        <w:rPr>
          <w:color w:val="002060"/>
        </w:rPr>
        <w:t xml:space="preserve">Autres </w:t>
      </w:r>
      <w:r>
        <w:rPr>
          <w:rFonts w:cstheme="minorHAnsi"/>
          <w:color w:val="002060"/>
        </w:rPr>
        <w:t>É</w:t>
      </w:r>
      <w:r>
        <w:rPr>
          <w:color w:val="002060"/>
        </w:rPr>
        <w:t xml:space="preserve">tats riverains et proches partenaires économiques (membres de l’UE ou de l’Espace </w:t>
      </w:r>
      <w:r>
        <w:rPr>
          <w:rFonts w:cstheme="minorHAnsi"/>
          <w:color w:val="002060"/>
        </w:rPr>
        <w:t>É</w:t>
      </w:r>
      <w:r>
        <w:rPr>
          <w:color w:val="002060"/>
        </w:rPr>
        <w:t>conomique Européen, EEE)</w:t>
      </w:r>
    </w:p>
    <w:p w:rsidR="00855D65" w:rsidRDefault="00D1114E" w:rsidP="00855D65">
      <w:pPr>
        <w:ind w:left="1843"/>
        <w:jc w:val="both"/>
        <w:rPr>
          <w:color w:val="002060"/>
        </w:rPr>
      </w:pPr>
      <w:r>
        <w:rPr>
          <w:color w:val="002060"/>
        </w:rPr>
        <w:t>Métropoles majeures d’influence mondiale ou continentales. </w:t>
      </w:r>
    </w:p>
    <w:p w:rsidR="00855D65" w:rsidRDefault="00D1114E" w:rsidP="00855D65">
      <w:pPr>
        <w:ind w:left="1843"/>
        <w:jc w:val="both"/>
        <w:rPr>
          <w:color w:val="002060"/>
        </w:rPr>
      </w:pPr>
      <w:r>
        <w:rPr>
          <w:rFonts w:ascii="Times New Roman" w:hAnsi="Times New Roman" w:cs="Times New Roman"/>
          <w:sz w:val="24"/>
          <w:szCs w:val="24"/>
        </w:rPr>
        <w:pict>
          <v:shape id="_x0000_s1070" type="#_x0000_t202" style="position:absolute;left:0;text-align:left;margin-left:-1.5pt;margin-top:3.6pt;width:49.85pt;height:19.5pt;z-index:251719680" filled="f" stroked="f">
            <v:textbox style="mso-next-textbox:#_x0000_s1070">
              <w:txbxContent>
                <w:p w:rsidR="00D1114E" w:rsidRDefault="00D1114E" w:rsidP="00D1114E">
                  <w:pPr>
                    <w:rPr>
                      <w:color w:val="FF0000"/>
                      <w:sz w:val="20"/>
                      <w:szCs w:val="20"/>
                    </w:rPr>
                  </w:pPr>
                  <w:r>
                    <w:rPr>
                      <w:color w:val="FF0000"/>
                      <w:sz w:val="20"/>
                      <w:szCs w:val="20"/>
                    </w:rPr>
                    <w:t>Rennes</w:t>
                  </w:r>
                </w:p>
              </w:txbxContent>
            </v:textbox>
          </v:shape>
        </w:pict>
      </w:r>
      <w:r>
        <w:rPr>
          <w:color w:val="002060"/>
        </w:rPr>
        <w:t>Métropoles françaises d’influence nationale ou régionale. Elles souffrent souvent du poids de Paris et ne se développent qu’en périphérie du territoire français. </w:t>
      </w:r>
    </w:p>
    <w:p w:rsidR="00D1114E" w:rsidRDefault="00D1114E" w:rsidP="00855D65">
      <w:pPr>
        <w:ind w:left="1843"/>
        <w:jc w:val="both"/>
        <w:rPr>
          <w:color w:val="002060"/>
        </w:rPr>
      </w:pPr>
    </w:p>
    <w:p w:rsidR="00D1114E" w:rsidRDefault="00D1114E" w:rsidP="00855D65">
      <w:pPr>
        <w:ind w:left="1843"/>
        <w:jc w:val="both"/>
        <w:rPr>
          <w:color w:val="002060"/>
        </w:rPr>
      </w:pPr>
    </w:p>
    <w:p w:rsidR="00D1114E" w:rsidRDefault="00D1114E" w:rsidP="00855D65">
      <w:pPr>
        <w:ind w:left="1843"/>
        <w:jc w:val="both"/>
        <w:rPr>
          <w:color w:val="002060"/>
        </w:rPr>
      </w:pPr>
    </w:p>
    <w:p w:rsidR="00D1114E" w:rsidRDefault="00D1114E" w:rsidP="00855D65">
      <w:pPr>
        <w:ind w:left="1843"/>
        <w:jc w:val="both"/>
        <w:rPr>
          <w:color w:val="002060"/>
        </w:rPr>
      </w:pPr>
    </w:p>
    <w:p w:rsidR="00D1114E" w:rsidRDefault="00D1114E" w:rsidP="00855D65">
      <w:pPr>
        <w:ind w:left="1843"/>
        <w:jc w:val="both"/>
        <w:rPr>
          <w:color w:val="002060"/>
        </w:rPr>
      </w:pPr>
    </w:p>
    <w:p w:rsidR="00855D65" w:rsidRDefault="00855D65" w:rsidP="00855D65">
      <w:pPr>
        <w:jc w:val="both"/>
        <w:rPr>
          <w:color w:val="002060"/>
        </w:rPr>
      </w:pPr>
    </w:p>
    <w:sectPr w:rsidR="00855D65" w:rsidSect="000E107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E1073"/>
    <w:rsid w:val="00077B62"/>
    <w:rsid w:val="000E1073"/>
    <w:rsid w:val="00106E50"/>
    <w:rsid w:val="00294D81"/>
    <w:rsid w:val="00443E65"/>
    <w:rsid w:val="0047155B"/>
    <w:rsid w:val="004D4D26"/>
    <w:rsid w:val="005921E2"/>
    <w:rsid w:val="005A7D47"/>
    <w:rsid w:val="00700446"/>
    <w:rsid w:val="0072362F"/>
    <w:rsid w:val="007A36D7"/>
    <w:rsid w:val="00823C6B"/>
    <w:rsid w:val="0084299F"/>
    <w:rsid w:val="008552F4"/>
    <w:rsid w:val="00855D65"/>
    <w:rsid w:val="00871071"/>
    <w:rsid w:val="00882C01"/>
    <w:rsid w:val="00903567"/>
    <w:rsid w:val="00AB02FB"/>
    <w:rsid w:val="00AB2993"/>
    <w:rsid w:val="00BD67C8"/>
    <w:rsid w:val="00C040F2"/>
    <w:rsid w:val="00C36DE0"/>
    <w:rsid w:val="00C75B41"/>
    <w:rsid w:val="00CD7985"/>
    <w:rsid w:val="00D1114E"/>
    <w:rsid w:val="00D560D0"/>
    <w:rsid w:val="00E33F9D"/>
    <w:rsid w:val="00F227DC"/>
    <w:rsid w:val="00F62FFB"/>
    <w:rsid w:val="00F803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1">
      <o:colormenu v:ext="edit" fillcolor="none" strokecolor="none [1606]"/>
    </o:shapedefaults>
    <o:shapelayout v:ext="edit">
      <o:idmap v:ext="edit" data="1"/>
      <o:rules v:ext="edit">
        <o:r id="V:Rule1" type="connector" idref="#_x0000_s1029"/>
        <o:r id="V:Rule2" type="connector" idref="#_x0000_s1035"/>
        <o:r id="V:Rule3" type="connector" idref="#_x0000_s1040"/>
        <o:r id="V:Rule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6E50"/>
    <w:pPr>
      <w:ind w:left="720"/>
      <w:contextualSpacing/>
    </w:pPr>
  </w:style>
  <w:style w:type="paragraph" w:styleId="Sansinterligne">
    <w:name w:val="No Spacing"/>
    <w:uiPriority w:val="1"/>
    <w:qFormat/>
    <w:rsid w:val="00E33F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926</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berth25e</dc:creator>
  <cp:keywords/>
  <dc:description/>
  <cp:lastModifiedBy>Admin</cp:lastModifiedBy>
  <cp:revision>28</cp:revision>
  <dcterms:created xsi:type="dcterms:W3CDTF">2013-05-18T09:38:00Z</dcterms:created>
  <dcterms:modified xsi:type="dcterms:W3CDTF">2013-05-19T20:38:00Z</dcterms:modified>
</cp:coreProperties>
</file>