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E9" w:rsidRPr="0083725D" w:rsidRDefault="00AA22E9" w:rsidP="00AA22E9">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(1.2</w:t>
      </w:r>
      <w:r w:rsidRPr="0083725D">
        <w:rPr>
          <w:b/>
          <w:sz w:val="28"/>
          <w:szCs w:val="28"/>
        </w:rPr>
        <w:t>)</w:t>
      </w:r>
      <w:r w:rsidRPr="0083725D">
        <w:rPr>
          <w:sz w:val="28"/>
          <w:szCs w:val="28"/>
        </w:rPr>
        <w:t> </w:t>
      </w:r>
      <w:r>
        <w:rPr>
          <w:sz w:val="28"/>
          <w:szCs w:val="28"/>
        </w:rPr>
        <w:t xml:space="preserve"> Un développement inégal et déséquilibré à toutes les échelles (2/2). Une Géographie de l’inégal développement à toutes les échelles. </w:t>
      </w:r>
    </w:p>
    <w:p w:rsidR="0048508D" w:rsidRPr="0048508D" w:rsidRDefault="0048508D" w:rsidP="0088330A">
      <w:pPr>
        <w:pStyle w:val="Sansinterligne"/>
        <w:jc w:val="both"/>
      </w:pPr>
      <w:r>
        <w:tab/>
      </w:r>
      <w:r w:rsidR="00507254">
        <w:t>Depuis le rapport BRANDT (</w:t>
      </w:r>
      <w:r w:rsidR="004D6889">
        <w:rPr>
          <w:i/>
        </w:rPr>
        <w:t>Nord-Sud : un programme de survie</w:t>
      </w:r>
      <w:r w:rsidR="00507254">
        <w:t>, 1980) l’habitude a été prise d’opposer un Nord riche et un Sud pauvre. Si cette opposition binaire garde une partie de sa pertinence, elle doit être nuancée : seu</w:t>
      </w:r>
      <w:r w:rsidR="007E6E7B">
        <w:t>le une partie du Nord est riche</w:t>
      </w:r>
      <w:r w:rsidR="00507254">
        <w:t xml:space="preserve"> </w:t>
      </w:r>
      <w:r w:rsidR="007E6E7B">
        <w:t xml:space="preserve">et </w:t>
      </w:r>
      <w:r w:rsidR="00507254">
        <w:t xml:space="preserve">des pays émergent </w:t>
      </w:r>
      <w:r w:rsidR="001628F4">
        <w:t>a</w:t>
      </w:r>
      <w:r w:rsidR="007E6E7B">
        <w:t>u Sud,</w:t>
      </w:r>
      <w:r w:rsidR="00507254">
        <w:t xml:space="preserve"> l’extrême richesse comme l’extrême </w:t>
      </w:r>
      <w:r w:rsidR="00F62F1E">
        <w:t>pauvreté se retrouvent</w:t>
      </w:r>
      <w:r w:rsidR="007E6E7B">
        <w:t xml:space="preserve"> au Nord et au</w:t>
      </w:r>
      <w:r w:rsidR="00507254">
        <w:t xml:space="preserve"> Sud. Comment</w:t>
      </w:r>
      <w:r w:rsidR="00343969">
        <w:t xml:space="preserve"> </w:t>
      </w:r>
      <w:r w:rsidR="00B70174">
        <w:t>comprendre les localisations des forts et des faibles développements ? </w:t>
      </w:r>
      <w:r w:rsidR="00507254">
        <w:t> </w:t>
      </w:r>
    </w:p>
    <w:p w:rsidR="00AA22E9" w:rsidRPr="005E61B8" w:rsidRDefault="00AA22E9" w:rsidP="0088330A">
      <w:pPr>
        <w:pStyle w:val="Sansinterligne"/>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D22911" w:rsidRDefault="00AA22E9" w:rsidP="0088330A">
      <w:pPr>
        <w:pStyle w:val="Sansinterligne"/>
        <w:jc w:val="both"/>
      </w:pPr>
      <w:r>
        <w:tab/>
      </w:r>
      <w:r w:rsidR="00F62F1E">
        <w:t xml:space="preserve">Depuis 1945, les inégalités de richesse et de développement entre États se sont réduites, mais les inégalités domestiques (À l’intérieur d’un même </w:t>
      </w:r>
      <w:r w:rsidR="0031690B">
        <w:t>État) se sont accrues</w:t>
      </w:r>
      <w:r>
        <w:t>.</w:t>
      </w:r>
      <w:r w:rsidR="0031690B">
        <w:t xml:space="preserve"> À l’échelle mondiale, les « pays du Nord »</w:t>
      </w:r>
      <w:r>
        <w:t> </w:t>
      </w:r>
      <w:r w:rsidR="0031690B">
        <w:t xml:space="preserve">anciennement industrialisés cumulent richesse et bien être : les </w:t>
      </w:r>
      <w:r w:rsidR="0031690B" w:rsidRPr="0031690B">
        <w:rPr>
          <w:u w:val="single"/>
        </w:rPr>
        <w:t>I</w:t>
      </w:r>
      <w:r w:rsidR="0031690B">
        <w:t xml:space="preserve">ndices de </w:t>
      </w:r>
      <w:r w:rsidR="0031690B" w:rsidRPr="0031690B">
        <w:rPr>
          <w:u w:val="single"/>
        </w:rPr>
        <w:t>D</w:t>
      </w:r>
      <w:r w:rsidR="0031690B">
        <w:t xml:space="preserve">éveloppement </w:t>
      </w:r>
      <w:r w:rsidR="0031690B" w:rsidRPr="0031690B">
        <w:rPr>
          <w:u w:val="single"/>
        </w:rPr>
        <w:t>H</w:t>
      </w:r>
      <w:r w:rsidR="0031690B">
        <w:t xml:space="preserve">umain (IDH, 1990) élaborés par le </w:t>
      </w:r>
      <w:r w:rsidR="0031690B" w:rsidRPr="0031690B">
        <w:rPr>
          <w:u w:val="single"/>
        </w:rPr>
        <w:t>P</w:t>
      </w:r>
      <w:r w:rsidR="0031690B">
        <w:t xml:space="preserve">rogramme des </w:t>
      </w:r>
      <w:r w:rsidR="0031690B" w:rsidRPr="0031690B">
        <w:rPr>
          <w:u w:val="single"/>
        </w:rPr>
        <w:t>N</w:t>
      </w:r>
      <w:r w:rsidR="0031690B">
        <w:t xml:space="preserve">ations </w:t>
      </w:r>
      <w:r w:rsidR="0031690B" w:rsidRPr="0031690B">
        <w:rPr>
          <w:u w:val="single"/>
        </w:rPr>
        <w:t>U</w:t>
      </w:r>
      <w:r w:rsidR="0031690B">
        <w:t xml:space="preserve">nies pour le </w:t>
      </w:r>
      <w:r w:rsidR="0031690B" w:rsidRPr="0031690B">
        <w:rPr>
          <w:u w:val="single"/>
        </w:rPr>
        <w:t>D</w:t>
      </w:r>
      <w:r w:rsidR="0031690B">
        <w:t>éveloppement (PNUD) sont très élevés (≥0,900) ou élevés (0,850) pour les pays de l’Amérique du Nord (États-Unis 2</w:t>
      </w:r>
      <w:r w:rsidR="0031690B" w:rsidRPr="0031690B">
        <w:rPr>
          <w:vertAlign w:val="superscript"/>
        </w:rPr>
        <w:t>ème</w:t>
      </w:r>
      <w:r w:rsidR="0031690B">
        <w:t xml:space="preserve"> IDH mondial), l’Europe de l’Ouest (France, 22</w:t>
      </w:r>
      <w:r w:rsidR="0031690B" w:rsidRPr="0031690B">
        <w:rPr>
          <w:vertAlign w:val="superscript"/>
        </w:rPr>
        <w:t>ème</w:t>
      </w:r>
      <w:r w:rsidR="0031690B">
        <w:t xml:space="preserve"> IDH mondial), et l’Asie de l’Est (Japon</w:t>
      </w:r>
      <w:r w:rsidR="00FC686C">
        <w:t>, 17</w:t>
      </w:r>
      <w:r w:rsidR="00FC686C" w:rsidRPr="00FC686C">
        <w:rPr>
          <w:vertAlign w:val="superscript"/>
        </w:rPr>
        <w:t>ème</w:t>
      </w:r>
      <w:r w:rsidR="0031690B">
        <w:t xml:space="preserve">). Le </w:t>
      </w:r>
      <w:r w:rsidR="0031690B" w:rsidRPr="0031690B">
        <w:rPr>
          <w:u w:val="single"/>
        </w:rPr>
        <w:t>R</w:t>
      </w:r>
      <w:r w:rsidR="0031690B">
        <w:t xml:space="preserve">evenu </w:t>
      </w:r>
      <w:r w:rsidR="0031690B" w:rsidRPr="0031690B">
        <w:rPr>
          <w:u w:val="single"/>
        </w:rPr>
        <w:t>N</w:t>
      </w:r>
      <w:r w:rsidR="0031690B">
        <w:t xml:space="preserve">ational </w:t>
      </w:r>
      <w:r w:rsidR="0031690B" w:rsidRPr="0031690B">
        <w:rPr>
          <w:u w:val="single"/>
        </w:rPr>
        <w:t>B</w:t>
      </w:r>
      <w:r w:rsidR="0031690B">
        <w:t xml:space="preserve">rut par Habitant en </w:t>
      </w:r>
      <w:r w:rsidR="0031690B" w:rsidRPr="0031690B">
        <w:rPr>
          <w:u w:val="single"/>
        </w:rPr>
        <w:t>P</w:t>
      </w:r>
      <w:r w:rsidR="0031690B">
        <w:t xml:space="preserve">arité de </w:t>
      </w:r>
      <w:r w:rsidR="0031690B" w:rsidRPr="0031690B">
        <w:rPr>
          <w:u w:val="single"/>
        </w:rPr>
        <w:t>P</w:t>
      </w:r>
      <w:r w:rsidR="0031690B">
        <w:t>ouvoir d’</w:t>
      </w:r>
      <w:r w:rsidR="0031690B" w:rsidRPr="0031690B">
        <w:rPr>
          <w:u w:val="single"/>
        </w:rPr>
        <w:t>A</w:t>
      </w:r>
      <w:r w:rsidR="0031690B">
        <w:t xml:space="preserve">chat par an (RNB/Hab./PPA/an) est supérieur à 30 000 dollars américains (US$) pour ces pays dits de « la Triade ». Au contraire, les </w:t>
      </w:r>
      <w:r w:rsidR="0031690B" w:rsidRPr="0031690B">
        <w:rPr>
          <w:u w:val="single"/>
        </w:rPr>
        <w:t>P</w:t>
      </w:r>
      <w:r w:rsidR="0031690B">
        <w:t xml:space="preserve">ays les </w:t>
      </w:r>
      <w:r w:rsidR="0031690B" w:rsidRPr="0031690B">
        <w:rPr>
          <w:u w:val="single"/>
        </w:rPr>
        <w:t>M</w:t>
      </w:r>
      <w:r w:rsidR="0031690B">
        <w:t xml:space="preserve">oins </w:t>
      </w:r>
      <w:r w:rsidR="0031690B" w:rsidRPr="0031690B">
        <w:rPr>
          <w:u w:val="single"/>
        </w:rPr>
        <w:t>A</w:t>
      </w:r>
      <w:r w:rsidR="0031690B">
        <w:t>vancés (PMA) cumulent les handicaps : RNB/hab./PPA/an inférieur à 1 000 US$, IDH faible (≤</w:t>
      </w:r>
      <w:r w:rsidR="009A5DC5">
        <w:t xml:space="preserve">0,400), </w:t>
      </w:r>
      <w:r w:rsidR="009A5DC5" w:rsidRPr="00B07F6C">
        <w:rPr>
          <w:u w:val="single"/>
        </w:rPr>
        <w:t>I</w:t>
      </w:r>
      <w:r w:rsidR="009A5DC5">
        <w:t xml:space="preserve">ndice de </w:t>
      </w:r>
      <w:r w:rsidR="009A5DC5" w:rsidRPr="00B07F6C">
        <w:rPr>
          <w:u w:val="single"/>
        </w:rPr>
        <w:t>P</w:t>
      </w:r>
      <w:r w:rsidR="009A5DC5">
        <w:t xml:space="preserve">auvreté </w:t>
      </w:r>
      <w:r w:rsidR="009A5DC5" w:rsidRPr="00B07F6C">
        <w:rPr>
          <w:u w:val="single"/>
        </w:rPr>
        <w:t>M</w:t>
      </w:r>
      <w:r w:rsidR="009A5DC5">
        <w:t xml:space="preserve">ultidimensionnelle (IPM) fort : au Niger plus de 89% de la population est considérée comme pauvre. Entre la Triade et les PMA, le </w:t>
      </w:r>
      <w:r w:rsidR="009A5DC5" w:rsidRPr="009A5DC5">
        <w:rPr>
          <w:u w:val="single"/>
        </w:rPr>
        <w:t>B</w:t>
      </w:r>
      <w:r w:rsidR="009A5DC5">
        <w:t xml:space="preserve">résil, la </w:t>
      </w:r>
      <w:r w:rsidR="009A5DC5" w:rsidRPr="009A5DC5">
        <w:rPr>
          <w:u w:val="single"/>
        </w:rPr>
        <w:t>R</w:t>
      </w:r>
      <w:r w:rsidR="009A5DC5">
        <w:t>ussie, l’</w:t>
      </w:r>
      <w:r w:rsidR="009A5DC5" w:rsidRPr="009A5DC5">
        <w:rPr>
          <w:u w:val="single"/>
        </w:rPr>
        <w:t>I</w:t>
      </w:r>
      <w:r w:rsidR="009A5DC5">
        <w:t>nde, l’</w:t>
      </w:r>
      <w:r w:rsidR="009A5DC5" w:rsidRPr="009A5DC5">
        <w:rPr>
          <w:u w:val="single"/>
        </w:rPr>
        <w:t>I</w:t>
      </w:r>
      <w:r w:rsidR="009A5DC5">
        <w:t xml:space="preserve">ndonésie, la </w:t>
      </w:r>
      <w:r w:rsidR="009A5DC5" w:rsidRPr="009A5DC5">
        <w:rPr>
          <w:u w:val="single"/>
        </w:rPr>
        <w:t>C</w:t>
      </w:r>
      <w:r w:rsidR="009A5DC5">
        <w:t xml:space="preserve">hine et l’Afrique du </w:t>
      </w:r>
      <w:r w:rsidR="009A5DC5" w:rsidRPr="009A5DC5">
        <w:rPr>
          <w:u w:val="single"/>
        </w:rPr>
        <w:t>S</w:t>
      </w:r>
      <w:r w:rsidR="009A5DC5">
        <w:t>ud (BRIICS</w:t>
      </w:r>
      <w:r w:rsidR="00B07F6C">
        <w:t>,</w:t>
      </w:r>
      <w:r w:rsidR="009A5DC5">
        <w:t xml:space="preserve"> selon l’</w:t>
      </w:r>
      <w:r w:rsidR="009A5DC5" w:rsidRPr="009A5DC5">
        <w:rPr>
          <w:u w:val="single"/>
        </w:rPr>
        <w:t>O</w:t>
      </w:r>
      <w:r w:rsidR="009A5DC5">
        <w:t xml:space="preserve">rganisation des </w:t>
      </w:r>
      <w:r w:rsidR="009A5DC5" w:rsidRPr="009A5DC5">
        <w:rPr>
          <w:u w:val="single"/>
        </w:rPr>
        <w:t>N</w:t>
      </w:r>
      <w:r w:rsidR="009A5DC5">
        <w:t xml:space="preserve">ations </w:t>
      </w:r>
      <w:r w:rsidR="009A5DC5" w:rsidRPr="009A5DC5">
        <w:rPr>
          <w:u w:val="single"/>
        </w:rPr>
        <w:t>U</w:t>
      </w:r>
      <w:r w:rsidR="009A5DC5">
        <w:t>nies, ONU) forment le peloton de tête du développement économique et social des pays dits « du Sud » : des IDH moyens (Autour de la moyenne mondial</w:t>
      </w:r>
      <w:r w:rsidR="00FC686C">
        <w:t>e à 0,750) comme la Chine (0,727, 92</w:t>
      </w:r>
      <w:r w:rsidR="00FC686C" w:rsidRPr="00FC686C">
        <w:rPr>
          <w:vertAlign w:val="superscript"/>
        </w:rPr>
        <w:t>ème</w:t>
      </w:r>
      <w:r w:rsidR="00FC686C">
        <w:t xml:space="preserve"> IDH</w:t>
      </w:r>
      <w:r w:rsidR="009A5DC5">
        <w:t>), parfois plus forts (Brésil</w:t>
      </w:r>
      <w:r w:rsidR="00FC686C">
        <w:t>, 0,755</w:t>
      </w:r>
      <w:r w:rsidR="009A5DC5">
        <w:t>) parfois plus faibles (Inde</w:t>
      </w:r>
      <w:r w:rsidR="00FC686C">
        <w:t>, 0,609</w:t>
      </w:r>
      <w:r w:rsidR="009A5DC5">
        <w:t xml:space="preserve">). Leur croissance économique reste plus forte que la moyenne mondiale (+8% de croissance du Produit Intérieur Brut). Des </w:t>
      </w:r>
      <w:r w:rsidR="00FC686C">
        <w:t>« </w:t>
      </w:r>
      <w:r w:rsidR="009A5DC5">
        <w:t>pays émergents</w:t>
      </w:r>
      <w:r w:rsidR="00FC686C">
        <w:t> »</w:t>
      </w:r>
      <w:r w:rsidR="009A5DC5">
        <w:t xml:space="preserve"> se développement aux frontières des BRIICS et de la Triade : le Maroc, l’Iran, la Turquie… Les économies sont diversifiées, l’industrialisation en cours, la transition démographique </w:t>
      </w:r>
      <w:r w:rsidR="00991B23">
        <w:t>achevée ou en voie d’achèvement</w:t>
      </w:r>
      <w:r w:rsidR="009A5DC5">
        <w:t>. </w:t>
      </w:r>
    </w:p>
    <w:p w:rsidR="00D22911" w:rsidRPr="005E61B8" w:rsidRDefault="00D22911" w:rsidP="0088330A">
      <w:pPr>
        <w:pStyle w:val="Sansinterligne"/>
        <w:jc w:val="center"/>
        <w:rPr>
          <w:b/>
          <w:sz w:val="28"/>
          <w:szCs w:val="28"/>
        </w:rPr>
      </w:pPr>
      <w:r w:rsidRPr="005E61B8">
        <w:rPr>
          <w:b/>
          <w:sz w:val="28"/>
          <w:szCs w:val="28"/>
        </w:rPr>
        <w:t>*</w:t>
      </w:r>
    </w:p>
    <w:p w:rsidR="00AA22E9" w:rsidRDefault="009A5DC5" w:rsidP="0088330A">
      <w:pPr>
        <w:pStyle w:val="Sansinterligne"/>
        <w:ind w:firstLine="708"/>
        <w:jc w:val="both"/>
      </w:pPr>
      <w:r>
        <w:t>Pour les États riches en hydrocarbures, les situations sont très diverses : les monarchies pétrolières du Golfe arabo</w:t>
      </w:r>
      <w:r w:rsidR="000B138D">
        <w:t>-</w:t>
      </w:r>
      <w:r>
        <w:t>persique</w:t>
      </w:r>
      <w:r w:rsidR="000B138D">
        <w:t xml:space="preserve"> bénéficient d’une manne immense pour des populations réduites. Pour les pays en forte croissance démographique (Algérie, Nigeria, Angola) les budgets publics et le développement sont très dépendants des cours du pétrol</w:t>
      </w:r>
      <w:r w:rsidR="002B147D">
        <w:t xml:space="preserve">e et du gaz naturel. Cette diversité des niveaux de croissance économique et de développement se mesure par des indicateurs spécifiques : ainsi, </w:t>
      </w:r>
      <w:r w:rsidR="002B147D" w:rsidRPr="002B147D">
        <w:rPr>
          <w:u w:val="single"/>
        </w:rPr>
        <w:t>I</w:t>
      </w:r>
      <w:r w:rsidR="002B147D">
        <w:t xml:space="preserve">ndice de </w:t>
      </w:r>
      <w:r w:rsidR="002B147D" w:rsidRPr="002B147D">
        <w:rPr>
          <w:u w:val="single"/>
        </w:rPr>
        <w:t>P</w:t>
      </w:r>
      <w:r w:rsidR="002B147D">
        <w:t xml:space="preserve">auvreté </w:t>
      </w:r>
      <w:r w:rsidR="002B147D" w:rsidRPr="002B147D">
        <w:rPr>
          <w:u w:val="single"/>
        </w:rPr>
        <w:t>H</w:t>
      </w:r>
      <w:r w:rsidR="002B147D">
        <w:t xml:space="preserve">umaine pour les </w:t>
      </w:r>
      <w:r w:rsidR="002B147D" w:rsidRPr="002B147D">
        <w:rPr>
          <w:u w:val="single"/>
        </w:rPr>
        <w:t>P</w:t>
      </w:r>
      <w:r w:rsidR="002B147D">
        <w:t xml:space="preserve">ays </w:t>
      </w:r>
      <w:r w:rsidR="002B147D" w:rsidRPr="002B147D">
        <w:rPr>
          <w:u w:val="single"/>
        </w:rPr>
        <w:t>E</w:t>
      </w:r>
      <w:r w:rsidR="002B147D">
        <w:t xml:space="preserve">n </w:t>
      </w:r>
      <w:r w:rsidR="002B147D" w:rsidRPr="002B147D">
        <w:rPr>
          <w:u w:val="single"/>
        </w:rPr>
        <w:t>D</w:t>
      </w:r>
      <w:r w:rsidR="002B147D">
        <w:t xml:space="preserve">éveloppement (IPH-1/PED) montre que 20% de la population de l’Égypte est pauvre, même si son IDH, moyen, est un des plus forts d’Afrique. Aux États-Unis, IDH très élevé, 15% de la population est pauvre selon les standards des </w:t>
      </w:r>
      <w:r w:rsidR="002B147D" w:rsidRPr="002B147D">
        <w:rPr>
          <w:u w:val="single"/>
        </w:rPr>
        <w:t>P</w:t>
      </w:r>
      <w:r w:rsidR="002B147D">
        <w:t xml:space="preserve">ays </w:t>
      </w:r>
      <w:r w:rsidR="002B147D" w:rsidRPr="002B147D">
        <w:rPr>
          <w:u w:val="single"/>
        </w:rPr>
        <w:t>I</w:t>
      </w:r>
      <w:r w:rsidR="002B147D">
        <w:t xml:space="preserve">ndustrialisés et </w:t>
      </w:r>
      <w:r w:rsidR="002B147D" w:rsidRPr="002B147D">
        <w:rPr>
          <w:u w:val="single"/>
        </w:rPr>
        <w:t>D</w:t>
      </w:r>
      <w:r w:rsidR="002B147D">
        <w:t>éveloppés (IPH-2/PID). Aux échelles macro-régionales et nationales, les littoraux, les vallées fluviales et les grandes métropoles sont plus riches et développés que les régions enclavées : à Shanghai, le RNB est supérieur à</w:t>
      </w:r>
      <w:r w:rsidR="00FC686C">
        <w:t xml:space="preserve"> celui du Portugal, dans le Xinji</w:t>
      </w:r>
      <w:r w:rsidR="002B147D">
        <w:t>ang (Turkestan chinois) le RNB est inférieur à celui du Nigéria. Dans les villes les fractures spatiales sont aussi des fractures sociales : les zones desservies en transports, en services culturels, sanitaires et scolaires sont habitées par des populations plus riches que le reste de l’espace urbain. Les opérations de réhabilit</w:t>
      </w:r>
      <w:r w:rsidR="0088330A">
        <w:t>ation des centres villes (</w:t>
      </w:r>
      <w:proofErr w:type="spellStart"/>
      <w:r w:rsidR="0088330A" w:rsidRPr="0088330A">
        <w:rPr>
          <w:i/>
        </w:rPr>
        <w:t>Gentry</w:t>
      </w:r>
      <w:r w:rsidR="002B147D" w:rsidRPr="0088330A">
        <w:rPr>
          <w:i/>
        </w:rPr>
        <w:t>fication</w:t>
      </w:r>
      <w:proofErr w:type="spellEnd"/>
      <w:r w:rsidR="002B147D">
        <w:t>) entraînent l’arrivée de classes sociales aisées et l’expulsion des pauvres. La ségrégation sociale s’aggrave de phénomène de repli sur soi (</w:t>
      </w:r>
      <w:r w:rsidR="00F5376A">
        <w:t>L’« Entre-</w:t>
      </w:r>
      <w:r w:rsidR="002B147D">
        <w:t>soi</w:t>
      </w:r>
      <w:r w:rsidR="00F5376A">
        <w:t> »</w:t>
      </w:r>
      <w:r w:rsidR="002B147D">
        <w:t>) :</w:t>
      </w:r>
      <w:r w:rsidR="00D22911">
        <w:t xml:space="preserve"> </w:t>
      </w:r>
      <w:proofErr w:type="spellStart"/>
      <w:r w:rsidR="00D22911" w:rsidRPr="00D22911">
        <w:rPr>
          <w:i/>
        </w:rPr>
        <w:t>gated</w:t>
      </w:r>
      <w:proofErr w:type="spellEnd"/>
      <w:r w:rsidR="00D22911" w:rsidRPr="00D22911">
        <w:rPr>
          <w:i/>
        </w:rPr>
        <w:t xml:space="preserve"> </w:t>
      </w:r>
      <w:proofErr w:type="spellStart"/>
      <w:r w:rsidR="00D22911" w:rsidRPr="00D22911">
        <w:rPr>
          <w:i/>
        </w:rPr>
        <w:t>communities</w:t>
      </w:r>
      <w:proofErr w:type="spellEnd"/>
      <w:r w:rsidR="00D22911">
        <w:t xml:space="preserve">, </w:t>
      </w:r>
      <w:r w:rsidR="00D22911" w:rsidRPr="00D22911">
        <w:rPr>
          <w:i/>
        </w:rPr>
        <w:t>compound</w:t>
      </w:r>
      <w:r w:rsidR="00D22911">
        <w:t>, villas privées interdites aux non-résidents se multiplient partout sur la planète. </w:t>
      </w:r>
      <w:r w:rsidR="002B147D">
        <w:t xml:space="preserve"> </w:t>
      </w:r>
    </w:p>
    <w:p w:rsidR="00AA22E9" w:rsidRPr="005E61B8" w:rsidRDefault="00AA22E9" w:rsidP="0088330A">
      <w:pPr>
        <w:pStyle w:val="Sansinterligne"/>
        <w:jc w:val="center"/>
        <w:rPr>
          <w:b/>
          <w:sz w:val="28"/>
          <w:szCs w:val="28"/>
        </w:rPr>
      </w:pPr>
      <w:r w:rsidRPr="005E61B8">
        <w:rPr>
          <w:b/>
          <w:sz w:val="28"/>
          <w:szCs w:val="28"/>
        </w:rPr>
        <w:t>*</w:t>
      </w:r>
    </w:p>
    <w:p w:rsidR="00AA22E9" w:rsidRDefault="00AA22E9" w:rsidP="0088330A">
      <w:pPr>
        <w:pStyle w:val="Sansinterligne"/>
        <w:jc w:val="both"/>
      </w:pPr>
      <w:r>
        <w:tab/>
      </w:r>
      <w:r w:rsidR="00DD41D4">
        <w:t xml:space="preserve">La mondialisation, processus </w:t>
      </w:r>
      <w:proofErr w:type="spellStart"/>
      <w:r w:rsidR="00DD41D4">
        <w:t>géohistorique</w:t>
      </w:r>
      <w:proofErr w:type="spellEnd"/>
      <w:r w:rsidR="00DD41D4">
        <w:t xml:space="preserve"> d’interconnexion des territoires et d’interdépendance des économies, favorise le développement des régions littorales (80% du trafic de marchandises sont maritimes) et de leurs </w:t>
      </w:r>
      <w:r w:rsidR="00DD41D4" w:rsidRPr="00DD41D4">
        <w:rPr>
          <w:u w:val="single"/>
        </w:rPr>
        <w:t>Z</w:t>
      </w:r>
      <w:r w:rsidR="00DD41D4">
        <w:t xml:space="preserve">ones </w:t>
      </w:r>
      <w:r w:rsidR="00DD41D4" w:rsidRPr="00DD41D4">
        <w:rPr>
          <w:u w:val="single"/>
        </w:rPr>
        <w:t>I</w:t>
      </w:r>
      <w:r w:rsidR="00DD41D4">
        <w:t>ndustrialo-</w:t>
      </w:r>
      <w:r w:rsidR="00991B23">
        <w:rPr>
          <w:u w:val="single"/>
        </w:rPr>
        <w:t>P</w:t>
      </w:r>
      <w:r w:rsidR="00DD41D4">
        <w:t>ortuaires (ZIP)</w:t>
      </w:r>
      <w:r>
        <w:t>. </w:t>
      </w:r>
      <w:r w:rsidR="00DD41D4">
        <w:t>Les métropoles, liées par leurs flux dans l’</w:t>
      </w:r>
      <w:r w:rsidR="00DD41D4" w:rsidRPr="00DD41D4">
        <w:rPr>
          <w:u w:val="single"/>
        </w:rPr>
        <w:t>A</w:t>
      </w:r>
      <w:r w:rsidR="00DD41D4">
        <w:t xml:space="preserve">rchipel </w:t>
      </w:r>
      <w:r w:rsidR="00DD41D4" w:rsidRPr="00DD41D4">
        <w:rPr>
          <w:u w:val="single"/>
        </w:rPr>
        <w:t>M</w:t>
      </w:r>
      <w:r w:rsidR="00DD41D4">
        <w:t xml:space="preserve">égalopolitain </w:t>
      </w:r>
      <w:r w:rsidR="00DD41D4" w:rsidRPr="00DD41D4">
        <w:rPr>
          <w:u w:val="single"/>
        </w:rPr>
        <w:t>M</w:t>
      </w:r>
      <w:r w:rsidR="00DD41D4">
        <w:t>ondial (AMM) offrent une densité et une diversité de travailleurs, de concepteurs, d’inves</w:t>
      </w:r>
      <w:r w:rsidR="00B07F6C">
        <w:t>tisseurs et de décideurs propre</w:t>
      </w:r>
      <w:r w:rsidR="00DD41D4">
        <w:t xml:space="preserve"> à attirer les innovations et les investissements. L’ancienneté de l’industrialisation de la Triade lui a permis une montée en gamme</w:t>
      </w:r>
      <w:r w:rsidR="00B07F6C">
        <w:t xml:space="preserve"> de ses économies et</w:t>
      </w:r>
      <w:r w:rsidR="00DD41D4">
        <w:t xml:space="preserve"> d’avoir une large longueur d’avance sur ses compétiteurs, même si les transferts de compétences</w:t>
      </w:r>
      <w:r w:rsidR="0088330A">
        <w:t xml:space="preserve"> (En Chine</w:t>
      </w:r>
      <w:r w:rsidR="00F5376A">
        <w:t>,</w:t>
      </w:r>
      <w:r w:rsidR="0088330A">
        <w:t xml:space="preserve"> par exemple) permettent des croissances fortes, dans les BRIICS notamment. Le libéralisme entraîne les</w:t>
      </w:r>
      <w:r w:rsidR="00B07F6C">
        <w:t xml:space="preserve"> pays pauvres vers une spécialisation (Sur leurs « a</w:t>
      </w:r>
      <w:r w:rsidR="0088330A">
        <w:t>vantages comparatifs</w:t>
      </w:r>
      <w:r w:rsidR="00B07F6C">
        <w:t> »</w:t>
      </w:r>
      <w:r w:rsidR="0088330A">
        <w:t xml:space="preserve">) qui les enferme à moyen terme dans une position </w:t>
      </w:r>
      <w:r w:rsidR="00C150FC">
        <w:t xml:space="preserve">économique </w:t>
      </w:r>
      <w:r w:rsidR="0088330A">
        <w:t>subordonnée</w:t>
      </w:r>
      <w:r w:rsidR="00C150FC">
        <w:t xml:space="preserve"> de fournisseurs de matières premières (Activité à faible </w:t>
      </w:r>
      <w:r w:rsidR="00C150FC" w:rsidRPr="00C150FC">
        <w:rPr>
          <w:u w:val="single"/>
        </w:rPr>
        <w:t>V</w:t>
      </w:r>
      <w:r w:rsidR="00C150FC">
        <w:t xml:space="preserve">aleur </w:t>
      </w:r>
      <w:r w:rsidR="00C150FC" w:rsidRPr="00C150FC">
        <w:rPr>
          <w:u w:val="single"/>
        </w:rPr>
        <w:t>A</w:t>
      </w:r>
      <w:r w:rsidR="00C150FC">
        <w:t>joutée, VA)</w:t>
      </w:r>
      <w:r w:rsidR="0088330A">
        <w:t>. Les guerres, la corruption et l’analphabétisme des filles, la très forte croissance démographique sont au Sud des freins rédhibitoires au développement. </w:t>
      </w:r>
    </w:p>
    <w:p w:rsidR="00AA22E9" w:rsidRPr="005E61B8" w:rsidRDefault="00AA22E9" w:rsidP="0088330A">
      <w:pPr>
        <w:pStyle w:val="Sansinterligne"/>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D22911" w:rsidP="0088330A">
      <w:pPr>
        <w:pStyle w:val="Sansinterligne"/>
        <w:jc w:val="both"/>
      </w:pPr>
      <w:r>
        <w:tab/>
        <w:t>Les femmes, les jeunes entrant sur le marché de l’emploi, les immigrés, les ruraux et de plus en plus les retraités sont, au Nord comme au Sud, les grands perdants de la mondialisation.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AA22E9"/>
    <w:rsid w:val="000B138D"/>
    <w:rsid w:val="000C564A"/>
    <w:rsid w:val="001628F4"/>
    <w:rsid w:val="0027456C"/>
    <w:rsid w:val="002B147D"/>
    <w:rsid w:val="0031690B"/>
    <w:rsid w:val="00343969"/>
    <w:rsid w:val="0048508D"/>
    <w:rsid w:val="004C4CAB"/>
    <w:rsid w:val="004D6889"/>
    <w:rsid w:val="00507254"/>
    <w:rsid w:val="005C435F"/>
    <w:rsid w:val="007E6E7B"/>
    <w:rsid w:val="0088330A"/>
    <w:rsid w:val="008C73E7"/>
    <w:rsid w:val="00991B23"/>
    <w:rsid w:val="009A5DC5"/>
    <w:rsid w:val="00A2620E"/>
    <w:rsid w:val="00AA22E9"/>
    <w:rsid w:val="00B05668"/>
    <w:rsid w:val="00B07F6C"/>
    <w:rsid w:val="00B70174"/>
    <w:rsid w:val="00C150FC"/>
    <w:rsid w:val="00C43567"/>
    <w:rsid w:val="00D22911"/>
    <w:rsid w:val="00D74F58"/>
    <w:rsid w:val="00DD41D4"/>
    <w:rsid w:val="00F5376A"/>
    <w:rsid w:val="00F62F1E"/>
    <w:rsid w:val="00FC68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33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17</cp:revision>
  <dcterms:created xsi:type="dcterms:W3CDTF">2017-07-08T17:20:00Z</dcterms:created>
  <dcterms:modified xsi:type="dcterms:W3CDTF">2017-09-07T07:05:00Z</dcterms:modified>
</cp:coreProperties>
</file>